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5" w:type="dxa"/>
        <w:tblInd w:w="-160" w:type="dxa"/>
        <w:tblLayout w:type="fixed"/>
        <w:tblLook w:val="0000" w:firstRow="0" w:lastRow="0" w:firstColumn="0" w:lastColumn="0" w:noHBand="0" w:noVBand="0"/>
      </w:tblPr>
      <w:tblGrid>
        <w:gridCol w:w="3760"/>
        <w:gridCol w:w="6165"/>
      </w:tblGrid>
      <w:tr>
        <w:tc>
          <w:tcPr>
            <w:tcW w:w="3760" w:type="dxa"/>
          </w:tcPr>
          <w:p>
            <w:pPr>
              <w:pStyle w:val="Heading1"/>
              <w:rPr>
                <w:rFonts w:ascii="Times New Roman" w:hAnsi="Times New Roman"/>
                <w:color w:val="000000"/>
                <w:sz w:val="26"/>
                <w:szCs w:val="28"/>
                <w:lang w:val="en-US"/>
              </w:rPr>
            </w:pPr>
            <w:r>
              <w:rPr>
                <w:rFonts w:ascii="Times New Roman" w:hAnsi="Times New Roman"/>
                <w:color w:val="000000"/>
                <w:sz w:val="26"/>
                <w:szCs w:val="28"/>
                <w:lang w:val="en-US"/>
              </w:rPr>
              <w:t>ỦY BAN NHÂN DÂN</w:t>
            </w:r>
          </w:p>
          <w:p>
            <w:pPr>
              <w:pStyle w:val="Heading1"/>
              <w:rPr>
                <w:rFonts w:ascii="Times New Roman" w:hAnsi="Times New Roman"/>
                <w:color w:val="000000"/>
                <w:sz w:val="26"/>
                <w:szCs w:val="28"/>
                <w:lang w:val="en-US"/>
              </w:rPr>
            </w:pPr>
            <w:r>
              <w:rPr>
                <w:rFonts w:ascii="Times New Roman" w:hAnsi="Times New Roman"/>
                <w:color w:val="000000"/>
                <w:sz w:val="26"/>
                <w:szCs w:val="28"/>
                <w:lang w:val="en-US"/>
              </w:rPr>
              <w:t>TỈNH HÀ TĨNH</w:t>
            </w:r>
          </w:p>
          <w:p>
            <w:pPr>
              <w:pStyle w:val="Heading1"/>
              <w:rPr>
                <w:rFonts w:ascii="Times New Roman" w:hAnsi="Times New Roman"/>
                <w:color w:val="000000"/>
                <w:sz w:val="26"/>
                <w:szCs w:val="28"/>
                <w:lang w:val="en-US"/>
              </w:rPr>
            </w:pPr>
            <w:r>
              <w:rPr>
                <w:rFonts w:ascii="Times New Roman" w:hAnsi="Times New Roman"/>
                <w:noProof/>
                <w:color w:val="000000"/>
                <w:sz w:val="26"/>
                <w:szCs w:val="28"/>
                <w:lang w:val="en-US"/>
              </w:rPr>
              <mc:AlternateContent>
                <mc:Choice Requires="wps">
                  <w:drawing>
                    <wp:anchor distT="0" distB="0" distL="114300" distR="114300" simplePos="0" relativeHeight="251660288" behindDoc="0" locked="0" layoutInCell="1" allowOverlap="1">
                      <wp:simplePos x="0" y="0"/>
                      <wp:positionH relativeFrom="column">
                        <wp:posOffset>777240</wp:posOffset>
                      </wp:positionH>
                      <wp:positionV relativeFrom="paragraph">
                        <wp:posOffset>52705</wp:posOffset>
                      </wp:positionV>
                      <wp:extent cx="644525" cy="0"/>
                      <wp:effectExtent l="0" t="0" r="2222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4.15pt" to="111.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0MDwIAACcEAAAOAAAAZHJzL2Uyb0RvYy54bWysU8GO2jAQvVfqP1i+QxI2U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"/>
                  </w:pict>
                </mc:Fallback>
              </mc:AlternateContent>
            </w:r>
          </w:p>
          <w:p>
            <w:pPr>
              <w:pStyle w:val="Heading1"/>
              <w:spacing w:before="120"/>
              <w:rPr>
                <w:rFonts w:ascii="Times New Roman" w:hAnsi="Times New Roman"/>
                <w:b w:val="0"/>
                <w:color w:val="000000"/>
                <w:sz w:val="26"/>
                <w:szCs w:val="28"/>
                <w:lang w:val="en-US"/>
              </w:rPr>
            </w:pPr>
            <w:r>
              <w:rPr>
                <w:rFonts w:ascii="Times New Roman" w:hAnsi="Times New Roman"/>
                <w:b w:val="0"/>
                <w:color w:val="000000"/>
                <w:sz w:val="26"/>
                <w:szCs w:val="28"/>
                <w:lang w:val="en-US"/>
              </w:rPr>
              <w:t>Số:              /UBND-XD</w:t>
            </w:r>
            <w:r>
              <w:rPr>
                <w:rFonts w:ascii="Times New Roman" w:hAnsi="Times New Roman"/>
                <w:b w:val="0"/>
                <w:color w:val="000000"/>
                <w:sz w:val="26"/>
                <w:szCs w:val="28"/>
                <w:vertAlign w:val="subscript"/>
                <w:lang w:val="en-US"/>
              </w:rPr>
              <w:t>2</w:t>
            </w:r>
          </w:p>
          <w:p>
            <w:pPr>
              <w:spacing w:before="40"/>
              <w:jc w:val="center"/>
              <w:rPr>
                <w:sz w:val="24"/>
              </w:rPr>
            </w:pPr>
            <w:r>
              <w:rPr>
                <w:sz w:val="24"/>
              </w:rPr>
              <w:t xml:space="preserve">V/v triển khai thực hiện Nghị định số 22/2025/NĐ-CP ngày 11/02/2025 của Chính phủ  </w:t>
            </w:r>
          </w:p>
          <w:p>
            <w:pPr>
              <w:jc w:val="center"/>
              <w:rPr>
                <w:sz w:val="12"/>
              </w:rPr>
            </w:pPr>
          </w:p>
        </w:tc>
        <w:tc>
          <w:tcPr>
            <w:tcW w:w="6165" w:type="dxa"/>
          </w:tcPr>
          <w:p>
            <w:pPr>
              <w:jc w:val="center"/>
              <w:rPr>
                <w:b/>
                <w:sz w:val="26"/>
              </w:rPr>
            </w:pPr>
            <w:r>
              <w:rPr>
                <w:b/>
                <w:sz w:val="26"/>
              </w:rPr>
              <w:t xml:space="preserve">CỘNG HÒA XÃ HỘI CHỦ NGHĨA VIỆT </w:t>
            </w:r>
            <w:smartTag w:uri="urn:schemas-microsoft-com:office:smarttags" w:element="country-region">
              <w:smartTag w:uri="urn:schemas-microsoft-com:office:smarttags" w:element="place">
                <w:r>
                  <w:rPr>
                    <w:b/>
                    <w:sz w:val="26"/>
                  </w:rPr>
                  <w:t>NAM</w:t>
                </w:r>
              </w:smartTag>
            </w:smartTag>
          </w:p>
          <w:p>
            <w:pPr>
              <w:jc w:val="center"/>
              <w:rPr>
                <w:b/>
                <w:i/>
                <w:sz w:val="30"/>
              </w:rPr>
            </w:pPr>
            <w:r>
              <w:rPr>
                <w:rFonts w:hint="eastAsia"/>
                <w:b/>
              </w:rPr>
              <w:t>Đ</w:t>
            </w:r>
            <w:r>
              <w:rPr>
                <w:b/>
              </w:rPr>
              <w:t>ộc lập - Tự do - Hạnh phúc</w:t>
            </w:r>
          </w:p>
          <w:p>
            <w:pPr>
              <w:jc w:val="center"/>
              <w:rPr>
                <w:b/>
                <w:i/>
                <w:sz w:val="16"/>
              </w:rPr>
            </w:pPr>
            <w:r>
              <w:rPr>
                <w:i/>
                <w:noProof/>
              </w:rPr>
              <mc:AlternateContent>
                <mc:Choice Requires="wps">
                  <w:drawing>
                    <wp:anchor distT="0" distB="0" distL="114300" distR="114300" simplePos="0" relativeHeight="251659264" behindDoc="0" locked="0" layoutInCell="1" allowOverlap="1">
                      <wp:simplePos x="0" y="0"/>
                      <wp:positionH relativeFrom="column">
                        <wp:posOffset>822325</wp:posOffset>
                      </wp:positionH>
                      <wp:positionV relativeFrom="paragraph">
                        <wp:posOffset>54610</wp:posOffset>
                      </wp:positionV>
                      <wp:extent cx="21717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5pt,4.3pt" to="235.7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6+/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"/>
                  </w:pict>
                </mc:Fallback>
              </mc:AlternateContent>
            </w:r>
            <w:r>
              <w:rPr>
                <w:i/>
                <w:sz w:val="26"/>
              </w:rPr>
              <w:t xml:space="preserve">   </w:t>
            </w:r>
            <w:r>
              <w:rPr>
                <w:i/>
              </w:rPr>
              <w:t xml:space="preserve"> </w:t>
            </w:r>
          </w:p>
          <w:p>
            <w:pPr>
              <w:spacing w:before="120"/>
              <w:jc w:val="center"/>
              <w:rPr>
                <w:i/>
                <w:sz w:val="2"/>
              </w:rPr>
            </w:pPr>
          </w:p>
          <w:p>
            <w:pPr>
              <w:spacing w:before="120"/>
              <w:jc w:val="center"/>
            </w:pPr>
            <w:r>
              <w:rPr>
                <w:i/>
              </w:rPr>
              <w:t xml:space="preserve">       Hà Tĩnh, ngày       tháng      n</w:t>
            </w:r>
            <w:r>
              <w:rPr>
                <w:rFonts w:hint="eastAsia"/>
                <w:i/>
              </w:rPr>
              <w:t>ă</w:t>
            </w:r>
            <w:r>
              <w:rPr>
                <w:i/>
              </w:rPr>
              <w:t>m 2025</w:t>
            </w:r>
          </w:p>
        </w:tc>
      </w:tr>
    </w:tbl>
    <w:p>
      <w:pPr>
        <w:spacing w:before="240" w:after="120"/>
        <w:rPr>
          <w:sz w:val="2"/>
        </w:rPr>
      </w:pPr>
      <w:r>
        <w:t xml:space="preserve">             </w:t>
      </w:r>
    </w:p>
    <w:p>
      <w:pPr>
        <w:spacing w:before="120"/>
        <w:ind w:left="720" w:firstLine="720"/>
        <w:jc w:val="both"/>
      </w:pPr>
      <w:r>
        <w:t xml:space="preserve">Kính gửi:  </w:t>
      </w:r>
    </w:p>
    <w:p>
      <w:pPr>
        <w:ind w:left="2835" w:right="423" w:firstLine="45"/>
        <w:jc w:val="both"/>
      </w:pPr>
      <w:bookmarkStart w:id="0" w:name="_GoBack"/>
      <w:bookmarkEnd w:id="0"/>
      <w:r>
        <w:t>- Các Sở: Kế hoạch và Đầu tư, Tài chính, Xây dựng,    Tài nguyên và Môi trường, Thông tin và Truyền   thông, Giao thông vận tải, Nông nghiệp và Phát triển nông thôn, Công Thương;</w:t>
      </w:r>
    </w:p>
    <w:p>
      <w:pPr>
        <w:spacing w:after="120"/>
        <w:ind w:left="2160" w:firstLine="720"/>
        <w:jc w:val="both"/>
      </w:pPr>
      <w:r>
        <w:t>- UBND các huyện, thành phố, thị xã.</w:t>
      </w:r>
    </w:p>
    <w:p>
      <w:pPr>
        <w:rPr>
          <w:sz w:val="10"/>
        </w:rPr>
      </w:pPr>
      <w:r>
        <w:rPr>
          <w:sz w:val="16"/>
        </w:rPr>
        <w:t xml:space="preserve">                                                   </w:t>
      </w:r>
    </w:p>
    <w:p>
      <w:pPr>
        <w:rPr>
          <w:sz w:val="2"/>
        </w:rPr>
      </w:pPr>
      <w:r>
        <w:t xml:space="preserve">                                           </w:t>
      </w:r>
    </w:p>
    <w:p>
      <w:pPr>
        <w:rPr>
          <w:sz w:val="6"/>
        </w:rPr>
      </w:pPr>
      <w:r>
        <w:tab/>
      </w:r>
      <w:r>
        <w:tab/>
      </w:r>
    </w:p>
    <w:p>
      <w:pPr>
        <w:spacing w:before="120"/>
        <w:ind w:firstLine="720"/>
        <w:jc w:val="both"/>
      </w:pPr>
      <w:r>
        <w:t xml:space="preserve">Thực hiện Nghị định số 22/2025/NĐ-CP ngày 11/02/2025 của Chính phủ về sửa đổi bổ sung một số điều của Nghị định số 37/2019/NĐ-CP ngày 07 tháng 5 năm 2019 của Chính phủ quy định chi tiết thi hành một số điều của Luật Quy hoạch đã được sửa đổi, bổ sung một số điều theo Nghị định số 58/2023/NĐ-CP ngày 12 tháng 8 năm 2023 của Chính phủ (sau đây gọi tắt là Nghị định số 22/2025/NĐ-CP); </w:t>
      </w:r>
      <w:r>
        <w:rPr>
          <w:i/>
        </w:rPr>
        <w:t>(văn bản gửi kèm trên Phần mềm quản lý văn bản và hồ sơ công việc).</w:t>
      </w:r>
      <w:r>
        <w:t xml:space="preserve"> </w:t>
      </w:r>
    </w:p>
    <w:p>
      <w:pPr>
        <w:spacing w:before="120"/>
        <w:ind w:firstLine="720"/>
        <w:jc w:val="both"/>
      </w:pPr>
      <w:r>
        <w:t xml:space="preserve">Phó Chủ tịch UBND tỉnh Trần Báu Hà giao: </w:t>
      </w:r>
    </w:p>
    <w:p>
      <w:pPr>
        <w:spacing w:before="120"/>
        <w:ind w:firstLine="720"/>
        <w:jc w:val="both"/>
        <w:rPr>
          <w:bCs/>
        </w:rPr>
      </w:pPr>
      <w:r>
        <w:rPr>
          <w:bCs/>
        </w:rPr>
        <w:t xml:space="preserve">1. Các sở, ngành, địa phương có tên trên và các đơn vị liên quan theo chức năng, nhiệm vụ, lĩnh vực, phạm vi quản lý nghiên cứu các quy định tại </w:t>
      </w:r>
      <w:r>
        <w:t>Nghị định số 22/2025/NĐ-CP</w:t>
      </w:r>
      <w:r>
        <w:rPr>
          <w:bCs/>
        </w:rPr>
        <w:t xml:space="preserve"> để tổ chức triển khai thực hiện các nội dung thuộc thẩm quyền và báo cáo, đề xuất cấp có thẩm quyền thực hiện các nội dung liên quan đảm bảo kịp thời, đúng quy định.</w:t>
      </w:r>
    </w:p>
    <w:p>
      <w:pPr>
        <w:spacing w:before="120" w:after="120"/>
        <w:ind w:firstLine="720"/>
        <w:jc w:val="both"/>
        <w:rPr>
          <w:bCs/>
        </w:rPr>
      </w:pPr>
      <w:r>
        <w:rPr>
          <w:bCs/>
        </w:rPr>
        <w:t>2. Giao Sở Kế hoạch và Đầu tư chủ trì, phối hợp với các đơn vị liên quan nghiên cứu nội dung Nghị định số 22/2025/NĐ-CP để triển khai thực hiện đối với những nội dung thuộc chức năng, thẩm quyền được giao phụ trách, quản lý và theo dõi, hướng dẫn các đơn vị, địa phương thực hiện; tham mưu những nội dung thuộc thẩm quyền của UBND tỉnh đảm bảo theo quy định; báo cáo UBND tỉnh trước ngày 28/02/2025./.</w:t>
      </w:r>
    </w:p>
    <w:p>
      <w:pPr>
        <w:spacing w:before="120"/>
        <w:rPr>
          <w:sz w:val="2"/>
          <w:lang w:val="vi-VN"/>
        </w:rPr>
      </w:pPr>
      <w:r>
        <w:rPr>
          <w:sz w:val="2"/>
          <w:lang w:val="vi-VN"/>
        </w:rPr>
        <w:t xml:space="preserve">   </w:t>
      </w:r>
    </w:p>
    <w:tbl>
      <w:tblPr>
        <w:tblW w:w="9380" w:type="dxa"/>
        <w:tblInd w:w="175" w:type="dxa"/>
        <w:tblLayout w:type="fixed"/>
        <w:tblLook w:val="0000" w:firstRow="0" w:lastRow="0" w:firstColumn="0" w:lastColumn="0" w:noHBand="0" w:noVBand="0"/>
      </w:tblPr>
      <w:tblGrid>
        <w:gridCol w:w="4061"/>
        <w:gridCol w:w="5319"/>
      </w:tblGrid>
      <w:tr>
        <w:tc>
          <w:tcPr>
            <w:tcW w:w="4061" w:type="dxa"/>
          </w:tcPr>
          <w:p>
            <w:pPr>
              <w:rPr>
                <w:b/>
                <w:i/>
                <w:sz w:val="26"/>
              </w:rPr>
            </w:pPr>
            <w:r>
              <w:rPr>
                <w:b/>
                <w:i/>
                <w:sz w:val="24"/>
              </w:rPr>
              <w:t>N</w:t>
            </w:r>
            <w:r>
              <w:rPr>
                <w:rFonts w:hint="eastAsia"/>
                <w:b/>
                <w:i/>
                <w:sz w:val="24"/>
              </w:rPr>
              <w:t>ơ</w:t>
            </w:r>
            <w:r>
              <w:rPr>
                <w:b/>
                <w:i/>
                <w:sz w:val="24"/>
              </w:rPr>
              <w:t>i nhận:</w:t>
            </w:r>
          </w:p>
          <w:p>
            <w:pPr>
              <w:rPr>
                <w:sz w:val="22"/>
              </w:rPr>
            </w:pPr>
            <w:r>
              <w:rPr>
                <w:sz w:val="22"/>
              </w:rPr>
              <w:t>- Như trên;</w:t>
            </w:r>
          </w:p>
          <w:p>
            <w:pPr>
              <w:rPr>
                <w:sz w:val="22"/>
              </w:rPr>
            </w:pPr>
            <w:r>
              <w:rPr>
                <w:sz w:val="22"/>
              </w:rPr>
              <w:t>- Chủ tịch, các PCT UBND tỉnh;</w:t>
            </w:r>
          </w:p>
          <w:p>
            <w:pPr>
              <w:rPr>
                <w:sz w:val="22"/>
              </w:rPr>
            </w:pPr>
            <w:r>
              <w:rPr>
                <w:sz w:val="22"/>
              </w:rPr>
              <w:t>- Chánh VP, PCVP theo dõi lĩnh vực;</w:t>
            </w:r>
          </w:p>
          <w:p>
            <w:pPr>
              <w:rPr>
                <w:sz w:val="22"/>
              </w:rPr>
            </w:pPr>
            <w:r>
              <w:rPr>
                <w:sz w:val="22"/>
              </w:rPr>
              <w:t>- Trung tâm CB-TH;</w:t>
            </w:r>
          </w:p>
          <w:p>
            <w:pPr>
              <w:rPr>
                <w:sz w:val="22"/>
              </w:rPr>
            </w:pPr>
            <w:r>
              <w:rPr>
                <w:sz w:val="22"/>
              </w:rPr>
              <w:t>- L</w:t>
            </w:r>
            <w:r>
              <w:rPr>
                <w:rFonts w:hint="eastAsia"/>
                <w:sz w:val="22"/>
              </w:rPr>
              <w:t>ư</w:t>
            </w:r>
            <w:r>
              <w:rPr>
                <w:sz w:val="22"/>
              </w:rPr>
              <w:t>u: VT,TH, XD</w:t>
            </w:r>
            <w:r>
              <w:rPr>
                <w:sz w:val="22"/>
                <w:vertAlign w:val="subscript"/>
              </w:rPr>
              <w:t>2</w:t>
            </w:r>
            <w:r>
              <w:rPr>
                <w:sz w:val="22"/>
              </w:rPr>
              <w:t>.</w:t>
            </w:r>
          </w:p>
        </w:tc>
        <w:tc>
          <w:tcPr>
            <w:tcW w:w="5319" w:type="dxa"/>
          </w:tcPr>
          <w:p>
            <w:pPr>
              <w:jc w:val="center"/>
              <w:rPr>
                <w:b/>
                <w:sz w:val="26"/>
                <w:szCs w:val="26"/>
              </w:rPr>
            </w:pPr>
            <w:r>
              <w:rPr>
                <w:b/>
                <w:sz w:val="26"/>
                <w:szCs w:val="26"/>
              </w:rPr>
              <w:t>TL. CHỦ TỊCH</w:t>
            </w:r>
          </w:p>
          <w:p>
            <w:pPr>
              <w:jc w:val="center"/>
              <w:rPr>
                <w:b/>
                <w:sz w:val="26"/>
                <w:szCs w:val="26"/>
              </w:rPr>
            </w:pPr>
            <w:r>
              <w:rPr>
                <w:b/>
                <w:sz w:val="26"/>
                <w:szCs w:val="26"/>
              </w:rPr>
              <w:t>KT. CHÁNH VĂN PHÒNG</w:t>
            </w:r>
          </w:p>
          <w:p>
            <w:pPr>
              <w:jc w:val="center"/>
              <w:rPr>
                <w:b/>
                <w:sz w:val="26"/>
                <w:szCs w:val="26"/>
              </w:rPr>
            </w:pPr>
            <w:r>
              <w:rPr>
                <w:b/>
                <w:sz w:val="26"/>
                <w:szCs w:val="26"/>
              </w:rPr>
              <w:t>PHÓ CHÁNH VĂN PHÒNG</w:t>
            </w:r>
          </w:p>
          <w:p>
            <w:pPr>
              <w:jc w:val="center"/>
              <w:rPr>
                <w:b/>
                <w:sz w:val="44"/>
              </w:rPr>
            </w:pPr>
          </w:p>
          <w:p>
            <w:pPr>
              <w:jc w:val="center"/>
            </w:pPr>
          </w:p>
          <w:p>
            <w:pPr>
              <w:jc w:val="center"/>
              <w:rPr>
                <w:b/>
                <w:sz w:val="26"/>
              </w:rPr>
            </w:pPr>
          </w:p>
          <w:p>
            <w:pPr>
              <w:jc w:val="center"/>
              <w:rPr>
                <w:sz w:val="36"/>
              </w:rPr>
            </w:pPr>
          </w:p>
          <w:p>
            <w:pPr>
              <w:jc w:val="center"/>
              <w:rPr>
                <w:b/>
              </w:rPr>
            </w:pPr>
            <w:r>
              <w:rPr>
                <w:b/>
              </w:rPr>
              <w:t>Trần Viết Hải</w:t>
            </w:r>
          </w:p>
        </w:tc>
      </w:tr>
    </w:tbl>
    <w:p/>
    <w:sectPr>
      <w:pgSz w:w="11907" w:h="16840" w:code="9"/>
      <w:pgMar w:top="1138" w:right="1138" w:bottom="720" w:left="1699" w:header="677"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visionView w:markup="0"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A96048FD-8255-4B5C-A6B0-2729593F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color w:val="000000"/>
      <w:sz w:val="28"/>
      <w:szCs w:val="28"/>
    </w:rPr>
  </w:style>
  <w:style w:type="paragraph" w:styleId="Heading1">
    <w:name w:val="heading 1"/>
    <w:basedOn w:val="Normal"/>
    <w:next w:val="Normal"/>
    <w:link w:val="Heading1Char"/>
    <w:qFormat/>
    <w:pPr>
      <w:keepNext/>
      <w:jc w:val="center"/>
      <w:outlineLvl w:val="0"/>
    </w:pPr>
    <w:rPr>
      <w:rFonts w:ascii=".VnTimeH" w:hAnsi=".VnTimeH"/>
      <w:b/>
      <w:color w:val="auto"/>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eastAsia="Times New Roman" w:hAnsi=".VnTimeH" w:cs="Times New Roman"/>
      <w:b/>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2025-02-17T02:37:00Z</dcterms:created>
  <dcterms:modified xsi:type="dcterms:W3CDTF">2025-02-19T09:05:00Z</dcterms:modified>
</cp:coreProperties>
</file>