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1" w:type="dxa"/>
        <w:jc w:val="center"/>
        <w:tblLayout w:type="fixed"/>
        <w:tblLook w:val="0000" w:firstRow="0" w:lastRow="0" w:firstColumn="0" w:lastColumn="0" w:noHBand="0" w:noVBand="0"/>
      </w:tblPr>
      <w:tblGrid>
        <w:gridCol w:w="3402"/>
        <w:gridCol w:w="5849"/>
      </w:tblGrid>
      <w:tr w:rsidR="00D01D02">
        <w:trPr>
          <w:trHeight w:val="1843"/>
          <w:jc w:val="center"/>
        </w:trPr>
        <w:tc>
          <w:tcPr>
            <w:tcW w:w="3402" w:type="dxa"/>
          </w:tcPr>
          <w:p w:rsidR="00D01D02" w:rsidRDefault="000070FC">
            <w:pPr>
              <w:jc w:val="center"/>
              <w:rPr>
                <w:b/>
                <w:sz w:val="26"/>
                <w:szCs w:val="26"/>
              </w:rPr>
            </w:pPr>
            <w:r>
              <w:rPr>
                <w:b/>
                <w:sz w:val="26"/>
                <w:szCs w:val="26"/>
              </w:rPr>
              <w:t>ỦY BAN NHÂN DÂN</w:t>
            </w:r>
          </w:p>
          <w:p w:rsidR="00D01D02" w:rsidRDefault="000070FC">
            <w:pPr>
              <w:jc w:val="center"/>
              <w:rPr>
                <w:b/>
                <w:sz w:val="26"/>
                <w:szCs w:val="26"/>
              </w:rPr>
            </w:pPr>
            <w:r>
              <w:rPr>
                <w:b/>
                <w:sz w:val="26"/>
                <w:szCs w:val="26"/>
              </w:rPr>
              <w:t xml:space="preserve"> TỈNH HÀ TĨNH</w:t>
            </w:r>
          </w:p>
          <w:p w:rsidR="00D01D02" w:rsidRDefault="000070FC">
            <w:pPr>
              <w:jc w:val="center"/>
            </w:pPr>
            <w:r>
              <w:rPr>
                <w:noProof/>
                <w:vertAlign w:val="superscript"/>
                <w:lang w:val="en-GB" w:eastAsia="en-GB"/>
              </w:rPr>
              <mc:AlternateContent>
                <mc:Choice Requires="wps">
                  <w:drawing>
                    <wp:anchor distT="0" distB="0" distL="114300" distR="114300" simplePos="0" relativeHeight="251657216" behindDoc="0" locked="0" layoutInCell="1" allowOverlap="1">
                      <wp:simplePos x="0" y="0"/>
                      <wp:positionH relativeFrom="column">
                        <wp:posOffset>651840</wp:posOffset>
                      </wp:positionH>
                      <wp:positionV relativeFrom="paragraph">
                        <wp:posOffset>17780</wp:posOffset>
                      </wp:positionV>
                      <wp:extent cx="76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4pt" to="11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VJ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BgKD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"/>
                  </w:pict>
                </mc:Fallback>
              </mc:AlternateContent>
            </w:r>
            <w:r>
              <w:rPr>
                <w:vertAlign w:val="superscript"/>
              </w:rPr>
              <w:t xml:space="preserve"> </w:t>
            </w:r>
          </w:p>
          <w:p w:rsidR="00D01D02" w:rsidRDefault="000070FC">
            <w:pPr>
              <w:spacing w:before="120" w:after="40"/>
              <w:jc w:val="center"/>
              <w:rPr>
                <w:sz w:val="28"/>
                <w:vertAlign w:val="subscript"/>
              </w:rPr>
            </w:pPr>
            <w:r>
              <w:rPr>
                <w:sz w:val="28"/>
              </w:rPr>
              <w:t>Số:           /UBND-KT</w:t>
            </w:r>
            <w:r>
              <w:rPr>
                <w:sz w:val="28"/>
                <w:vertAlign w:val="subscript"/>
              </w:rPr>
              <w:t>2</w:t>
            </w:r>
          </w:p>
          <w:p w:rsidR="00D01D02" w:rsidRDefault="000070FC">
            <w:pPr>
              <w:jc w:val="center"/>
              <w:rPr>
                <w:iCs/>
              </w:rPr>
            </w:pPr>
            <w:r>
              <w:rPr>
                <w:iCs/>
              </w:rPr>
              <w:t xml:space="preserve">V/v cập nhật số liệu phục vụ tính toán, hoàn thiện đề án điều chỉnh Quy hoạch điện VIII </w:t>
            </w:r>
          </w:p>
        </w:tc>
        <w:tc>
          <w:tcPr>
            <w:tcW w:w="5849" w:type="dxa"/>
          </w:tcPr>
          <w:p w:rsidR="00D01D02" w:rsidRDefault="000070FC">
            <w:pPr>
              <w:jc w:val="center"/>
              <w:rPr>
                <w:b/>
                <w:sz w:val="26"/>
                <w:szCs w:val="26"/>
              </w:rPr>
            </w:pPr>
            <w:r>
              <w:rPr>
                <w:b/>
                <w:sz w:val="26"/>
                <w:szCs w:val="26"/>
              </w:rPr>
              <w:t>CỘNG HOÀ XÃ HỘI CHỦ NGHĨA VIỆT NAM</w:t>
            </w:r>
          </w:p>
          <w:p w:rsidR="00D01D02" w:rsidRDefault="000070FC">
            <w:pPr>
              <w:jc w:val="center"/>
              <w:rPr>
                <w:sz w:val="28"/>
                <w:szCs w:val="28"/>
              </w:rPr>
            </w:pPr>
            <w:r>
              <w:rPr>
                <w:b/>
                <w:sz w:val="28"/>
                <w:szCs w:val="28"/>
              </w:rPr>
              <w:t>Độc lập - Tự do - Hạnh phúc</w:t>
            </w:r>
          </w:p>
          <w:p w:rsidR="00D01D02" w:rsidRDefault="000070FC">
            <w:pPr>
              <w:jc w:val="center"/>
            </w:pPr>
            <w:r>
              <w:rPr>
                <w:b/>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742315</wp:posOffset>
                      </wp:positionH>
                      <wp:positionV relativeFrom="paragraph">
                        <wp:posOffset>26366</wp:posOffset>
                      </wp:positionV>
                      <wp:extent cx="20828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pt" to="22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Y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"/>
                  </w:pict>
                </mc:Fallback>
              </mc:AlternateContent>
            </w:r>
            <w:r>
              <w:rPr>
                <w:vertAlign w:val="superscript"/>
              </w:rPr>
              <w:t xml:space="preserve"> </w:t>
            </w:r>
            <w:r>
              <w:rPr>
                <w:i/>
                <w:sz w:val="26"/>
                <w:szCs w:val="26"/>
              </w:rPr>
              <w:t xml:space="preserve">                       </w:t>
            </w:r>
          </w:p>
          <w:p w:rsidR="00D01D02" w:rsidRDefault="000070FC">
            <w:pPr>
              <w:spacing w:before="120"/>
              <w:jc w:val="center"/>
              <w:rPr>
                <w:rFonts w:ascii=".VnTime" w:hAnsi=".VnTime"/>
                <w:sz w:val="28"/>
                <w:szCs w:val="28"/>
              </w:rPr>
            </w:pPr>
            <w:r>
              <w:rPr>
                <w:i/>
                <w:sz w:val="28"/>
                <w:szCs w:val="28"/>
              </w:rPr>
              <w:t xml:space="preserve">      Hà Tĩnh, ngày        tháng        năm 2025</w:t>
            </w:r>
          </w:p>
        </w:tc>
      </w:tr>
    </w:tbl>
    <w:p w:rsidR="00D01D02" w:rsidRPr="00155EA4" w:rsidRDefault="00D01D02">
      <w:pPr>
        <w:rPr>
          <w:sz w:val="32"/>
          <w:szCs w:val="42"/>
        </w:rPr>
      </w:pPr>
    </w:p>
    <w:p w:rsidR="00D01D02" w:rsidRPr="00D65C91" w:rsidRDefault="00D01D02">
      <w:pPr>
        <w:rPr>
          <w:sz w:val="2"/>
          <w:szCs w:val="66"/>
        </w:rPr>
      </w:pPr>
    </w:p>
    <w:p w:rsidR="00D01D02" w:rsidRPr="0034249F" w:rsidRDefault="00D01D02">
      <w:pPr>
        <w:rPr>
          <w:sz w:val="26"/>
          <w:szCs w:val="22"/>
        </w:rPr>
      </w:pPr>
    </w:p>
    <w:p w:rsidR="00D01D02" w:rsidRDefault="000070FC">
      <w:pPr>
        <w:jc w:val="center"/>
        <w:rPr>
          <w:bCs/>
          <w:sz w:val="28"/>
          <w:szCs w:val="28"/>
          <w:lang w:val="en-GB"/>
        </w:rPr>
      </w:pPr>
      <w:r>
        <w:rPr>
          <w:bCs/>
          <w:sz w:val="28"/>
          <w:szCs w:val="28"/>
          <w:lang w:val="vi-VN"/>
        </w:rPr>
        <w:t>Kính gửi:</w:t>
      </w:r>
      <w:r>
        <w:rPr>
          <w:bCs/>
          <w:sz w:val="28"/>
          <w:szCs w:val="28"/>
          <w:lang w:val="en-GB"/>
        </w:rPr>
        <w:t xml:space="preserve"> Sở Công Thương</w:t>
      </w:r>
    </w:p>
    <w:p w:rsidR="00D01D02" w:rsidRDefault="00D01D02">
      <w:pPr>
        <w:jc w:val="center"/>
        <w:rPr>
          <w:bCs/>
          <w:sz w:val="56"/>
          <w:szCs w:val="38"/>
        </w:rPr>
      </w:pPr>
    </w:p>
    <w:p w:rsidR="00D01D02" w:rsidRDefault="000070FC">
      <w:pPr>
        <w:spacing w:before="120"/>
        <w:ind w:firstLine="720"/>
        <w:jc w:val="both"/>
        <w:rPr>
          <w:sz w:val="28"/>
          <w:szCs w:val="28"/>
          <w:lang w:val="nl-NL"/>
        </w:rPr>
      </w:pPr>
      <w:r>
        <w:rPr>
          <w:sz w:val="28"/>
          <w:szCs w:val="28"/>
          <w:lang w:val="nl-NL"/>
        </w:rPr>
        <w:t xml:space="preserve">Xét đề nghị của Công ty TNHH Phát triển công nghệ Mặt Trời Việt tại Văn bản số 01/2025/CV-MTV ngày 20/01/2025 về việc bổ sung dự án Nhà máy Điện mặt trời nổi kết hợp hệ thống pin lưu trữ hồ Kẻ Gỗ và hồ sông Rác vào điều chỉnh Quy hoạch điện VIII; đề nghị của Công ty Cổ phần Hệ thống kỹ thuật năng lượng tại Văn bản số 2501/ENPOWER-CV ngày 14/01/2025 về việc cập nhật, bổ sung các dự án thủy điện trên địa bàn tỉnh Hà Tĩnh vào điều chỉnh Quy hoạch điện VIII </w:t>
      </w:r>
      <w:r>
        <w:rPr>
          <w:i/>
          <w:iCs/>
          <w:sz w:val="28"/>
          <w:szCs w:val="28"/>
          <w:lang w:val="nl-NL"/>
        </w:rPr>
        <w:t>(Văn bản gửi kèm trên Phần mềm quản lý văn bản và hồ sơ công việc)</w:t>
      </w:r>
      <w:r>
        <w:rPr>
          <w:sz w:val="28"/>
          <w:szCs w:val="28"/>
          <w:lang w:val="nl-NL"/>
        </w:rPr>
        <w:t>;</w:t>
      </w:r>
    </w:p>
    <w:p w:rsidR="00D01D02" w:rsidRDefault="000070FC">
      <w:pPr>
        <w:spacing w:before="120"/>
        <w:ind w:firstLine="720"/>
        <w:jc w:val="both"/>
        <w:rPr>
          <w:sz w:val="28"/>
          <w:szCs w:val="28"/>
          <w:lang w:val="nl-NL"/>
        </w:rPr>
      </w:pPr>
      <w:r>
        <w:rPr>
          <w:sz w:val="28"/>
          <w:szCs w:val="28"/>
          <w:lang w:val="nl-NL"/>
        </w:rPr>
        <w:t>Chủ tịch UBND tỉnh có ý kiến như sau:</w:t>
      </w:r>
    </w:p>
    <w:p w:rsidR="00D01D02" w:rsidRDefault="000070FC">
      <w:pPr>
        <w:spacing w:before="120" w:after="240"/>
        <w:ind w:firstLine="720"/>
        <w:jc w:val="both"/>
        <w:rPr>
          <w:sz w:val="20"/>
          <w:szCs w:val="48"/>
        </w:rPr>
      </w:pPr>
      <w:r>
        <w:rPr>
          <w:spacing w:val="2"/>
          <w:sz w:val="28"/>
          <w:szCs w:val="28"/>
          <w:lang w:val="nl-NL"/>
        </w:rPr>
        <w:t>Giao Sở Công Thương chủ trì, phối hợp với</w:t>
      </w:r>
      <w:r>
        <w:rPr>
          <w:bCs/>
          <w:sz w:val="28"/>
          <w:szCs w:val="28"/>
          <w:lang w:val="en-GB"/>
        </w:rPr>
        <w:t xml:space="preserve"> </w:t>
      </w:r>
      <w:r>
        <w:rPr>
          <w:spacing w:val="2"/>
          <w:sz w:val="28"/>
          <w:szCs w:val="28"/>
          <w:lang w:val="nl-NL"/>
        </w:rPr>
        <w:t xml:space="preserve">các cơ quan, </w:t>
      </w:r>
      <w:r>
        <w:rPr>
          <w:spacing w:val="2"/>
          <w:sz w:val="28"/>
          <w:szCs w:val="28"/>
          <w:lang w:val="vi-VN"/>
        </w:rPr>
        <w:t>đơn vị</w:t>
      </w:r>
      <w:r>
        <w:rPr>
          <w:spacing w:val="2"/>
          <w:sz w:val="28"/>
          <w:szCs w:val="28"/>
          <w:lang w:val="en-GB"/>
        </w:rPr>
        <w:t xml:space="preserve"> </w:t>
      </w:r>
      <w:r>
        <w:rPr>
          <w:spacing w:val="2"/>
          <w:sz w:val="28"/>
          <w:szCs w:val="28"/>
          <w:lang w:val="nl-NL"/>
        </w:rPr>
        <w:t>liên quan nghiên cứu cụ thể đề xuất của các đơn vị tại các Văn bản nêu trên; căn cứ Văn bản số 10698/BCT-ĐL ngày 28/12/2024 của Bộ Công Thương</w:t>
      </w:r>
      <w:r>
        <w:rPr>
          <w:rStyle w:val="FootnoteReference"/>
          <w:spacing w:val="2"/>
          <w:sz w:val="28"/>
          <w:szCs w:val="28"/>
          <w:lang w:val="nl-NL"/>
        </w:rPr>
        <w:footnoteReference w:id="1"/>
      </w:r>
      <w:r>
        <w:rPr>
          <w:spacing w:val="2"/>
          <w:sz w:val="28"/>
          <w:szCs w:val="28"/>
          <w:lang w:val="nl-NL"/>
        </w:rPr>
        <w:t>, tiếp tục soát xét, cập nhật vào điều chỉnh Quy hoạch điện VIII theo đúng quy định, đảm bảo phù hợp các Quy hoạch, định hướng phát triển kinh tế, xã hội trên địa bàn tỉnh, báo cáo UBND tỉnh</w:t>
      </w:r>
      <w:r w:rsidR="00EF602C">
        <w:rPr>
          <w:spacing w:val="2"/>
          <w:sz w:val="28"/>
          <w:szCs w:val="28"/>
          <w:lang w:val="nl-NL"/>
        </w:rPr>
        <w:t>.</w:t>
      </w:r>
      <w:bookmarkStart w:id="0" w:name="_GoBack"/>
      <w:bookmarkEnd w:id="0"/>
      <w:r>
        <w:rPr>
          <w:spacing w:val="2"/>
          <w:sz w:val="28"/>
          <w:szCs w:val="28"/>
          <w:lang w:val="nl-NL"/>
        </w:rPr>
        <w:t>/.</w:t>
      </w:r>
    </w:p>
    <w:tbl>
      <w:tblPr>
        <w:tblW w:w="8647" w:type="dxa"/>
        <w:jc w:val="center"/>
        <w:tblLayout w:type="fixed"/>
        <w:tblLook w:val="0000" w:firstRow="0" w:lastRow="0" w:firstColumn="0" w:lastColumn="0" w:noHBand="0" w:noVBand="0"/>
      </w:tblPr>
      <w:tblGrid>
        <w:gridCol w:w="4395"/>
        <w:gridCol w:w="4252"/>
      </w:tblGrid>
      <w:tr w:rsidR="00D01D02">
        <w:trPr>
          <w:jc w:val="center"/>
        </w:trPr>
        <w:tc>
          <w:tcPr>
            <w:tcW w:w="4395" w:type="dxa"/>
          </w:tcPr>
          <w:p w:rsidR="00D01D02" w:rsidRDefault="000070FC">
            <w:pPr>
              <w:jc w:val="both"/>
              <w:rPr>
                <w:i/>
                <w:iCs/>
              </w:rPr>
            </w:pPr>
            <w:r>
              <w:rPr>
                <w:b/>
                <w:i/>
                <w:iCs/>
              </w:rPr>
              <w:t>Nơi nhận</w:t>
            </w:r>
            <w:r>
              <w:rPr>
                <w:i/>
                <w:iCs/>
              </w:rPr>
              <w:t>:</w:t>
            </w:r>
          </w:p>
          <w:p w:rsidR="00D01D02" w:rsidRDefault="000070FC">
            <w:pPr>
              <w:jc w:val="both"/>
              <w:rPr>
                <w:sz w:val="22"/>
                <w:szCs w:val="22"/>
              </w:rPr>
            </w:pPr>
            <w:r>
              <w:rPr>
                <w:sz w:val="22"/>
                <w:szCs w:val="22"/>
              </w:rPr>
              <w:t>- Như</w:t>
            </w:r>
            <w:r>
              <w:rPr>
                <w:sz w:val="22"/>
                <w:szCs w:val="22"/>
              </w:rPr>
              <w:softHyphen/>
              <w:t xml:space="preserve"> trên;</w:t>
            </w:r>
          </w:p>
          <w:p w:rsidR="00D01D02" w:rsidRDefault="000070FC">
            <w:pPr>
              <w:jc w:val="both"/>
              <w:rPr>
                <w:sz w:val="22"/>
                <w:szCs w:val="22"/>
              </w:rPr>
            </w:pPr>
            <w:r>
              <w:rPr>
                <w:sz w:val="22"/>
                <w:szCs w:val="22"/>
              </w:rPr>
              <w:t>- Chủ tịch, các PCT UBND tỉnh;</w:t>
            </w:r>
          </w:p>
          <w:p w:rsidR="00D01D02" w:rsidRDefault="000070FC">
            <w:pPr>
              <w:jc w:val="both"/>
              <w:rPr>
                <w:sz w:val="22"/>
                <w:szCs w:val="22"/>
              </w:rPr>
            </w:pPr>
            <w:r>
              <w:rPr>
                <w:sz w:val="22"/>
                <w:szCs w:val="22"/>
              </w:rPr>
              <w:t>- Chánh Văn phòng UBND tỉnh;</w:t>
            </w:r>
          </w:p>
          <w:p w:rsidR="00D01D02" w:rsidRDefault="000070FC">
            <w:pPr>
              <w:jc w:val="both"/>
              <w:rPr>
                <w:sz w:val="22"/>
                <w:szCs w:val="22"/>
              </w:rPr>
            </w:pPr>
            <w:r>
              <w:rPr>
                <w:sz w:val="22"/>
                <w:szCs w:val="22"/>
              </w:rPr>
              <w:t>- Trung tâm CB - TH tỉnh;</w:t>
            </w:r>
          </w:p>
          <w:p w:rsidR="00D01D02" w:rsidRDefault="000070FC">
            <w:pPr>
              <w:jc w:val="both"/>
              <w:rPr>
                <w:sz w:val="29"/>
              </w:rPr>
            </w:pPr>
            <w:r>
              <w:rPr>
                <w:sz w:val="22"/>
                <w:szCs w:val="22"/>
              </w:rPr>
              <w:t>- Lưu: VT, KT</w:t>
            </w:r>
            <w:r>
              <w:rPr>
                <w:sz w:val="22"/>
                <w:szCs w:val="22"/>
                <w:vertAlign w:val="subscript"/>
              </w:rPr>
              <w:t>2</w:t>
            </w:r>
            <w:r>
              <w:rPr>
                <w:sz w:val="22"/>
                <w:szCs w:val="22"/>
              </w:rPr>
              <w:t>.</w:t>
            </w:r>
          </w:p>
          <w:p w:rsidR="00D01D02" w:rsidRDefault="00D01D02">
            <w:pPr>
              <w:ind w:hanging="108"/>
              <w:jc w:val="both"/>
              <w:rPr>
                <w:sz w:val="29"/>
              </w:rPr>
            </w:pPr>
          </w:p>
        </w:tc>
        <w:tc>
          <w:tcPr>
            <w:tcW w:w="4252" w:type="dxa"/>
          </w:tcPr>
          <w:p w:rsidR="00D01D02" w:rsidRDefault="000070FC">
            <w:pPr>
              <w:jc w:val="center"/>
              <w:rPr>
                <w:b/>
                <w:bCs/>
                <w:sz w:val="26"/>
                <w:szCs w:val="26"/>
              </w:rPr>
            </w:pPr>
            <w:r>
              <w:rPr>
                <w:b/>
                <w:bCs/>
                <w:sz w:val="26"/>
                <w:szCs w:val="26"/>
              </w:rPr>
              <w:t>TL. CHỦ TỊCH</w:t>
            </w:r>
          </w:p>
          <w:p w:rsidR="00D01D02" w:rsidRDefault="000070FC">
            <w:pPr>
              <w:ind w:left="-480" w:firstLine="480"/>
              <w:jc w:val="center"/>
              <w:rPr>
                <w:b/>
                <w:bCs/>
                <w:sz w:val="26"/>
                <w:szCs w:val="26"/>
              </w:rPr>
            </w:pPr>
            <w:r>
              <w:rPr>
                <w:b/>
                <w:bCs/>
                <w:sz w:val="26"/>
                <w:szCs w:val="26"/>
              </w:rPr>
              <w:t>CHÁNH VĂN PHÒNG</w:t>
            </w: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2"/>
                <w:szCs w:val="2"/>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2"/>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jc w:val="center"/>
              <w:rPr>
                <w:sz w:val="6"/>
                <w:szCs w:val="6"/>
              </w:rPr>
            </w:pPr>
          </w:p>
          <w:p w:rsidR="00D01D02" w:rsidRDefault="00D01D02">
            <w:pPr>
              <w:rPr>
                <w:sz w:val="29"/>
              </w:rPr>
            </w:pPr>
          </w:p>
          <w:p w:rsidR="00D01D02" w:rsidRDefault="00D01D02">
            <w:pPr>
              <w:rPr>
                <w:sz w:val="29"/>
              </w:rPr>
            </w:pPr>
          </w:p>
          <w:p w:rsidR="00D01D02" w:rsidRDefault="000070FC">
            <w:pPr>
              <w:pStyle w:val="Heading3"/>
              <w:rPr>
                <w:rFonts w:ascii="Times New Roman" w:hAnsi="Times New Roman"/>
                <w:szCs w:val="29"/>
              </w:rPr>
            </w:pPr>
            <w:r>
              <w:rPr>
                <w:rFonts w:ascii="Times New Roman" w:hAnsi="Times New Roman"/>
              </w:rPr>
              <w:t>Nguyễn Huy Hùng</w:t>
            </w:r>
          </w:p>
        </w:tc>
      </w:tr>
    </w:tbl>
    <w:p w:rsidR="00D01D02" w:rsidRDefault="00D01D02">
      <w:pPr>
        <w:spacing w:after="120" w:line="312" w:lineRule="auto"/>
        <w:jc w:val="both"/>
        <w:rPr>
          <w:b/>
          <w:i/>
          <w:sz w:val="8"/>
          <w:szCs w:val="28"/>
        </w:rPr>
      </w:pPr>
    </w:p>
    <w:p w:rsidR="00D01D02" w:rsidRDefault="00D01D02">
      <w:pPr>
        <w:spacing w:after="120"/>
        <w:jc w:val="both"/>
        <w:rPr>
          <w:color w:val="FF0000"/>
        </w:rPr>
      </w:pPr>
    </w:p>
    <w:sectPr w:rsidR="00D01D02">
      <w:footerReference w:type="even" r:id="rId9"/>
      <w:footerReference w:type="default" r:id="rId10"/>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32" w:rsidRDefault="00CD0F32">
      <w:r>
        <w:separator/>
      </w:r>
    </w:p>
  </w:endnote>
  <w:endnote w:type="continuationSeparator" w:id="0">
    <w:p w:rsidR="00CD0F32" w:rsidRDefault="00C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2" w:rsidRDefault="00007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D02" w:rsidRDefault="00D01D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2" w:rsidRDefault="00D01D02">
    <w:pPr>
      <w:pStyle w:val="Footer"/>
      <w:ind w:right="360"/>
      <w:rPr>
        <w:sz w:val="16"/>
        <w:szCs w:val="16"/>
      </w:rPr>
    </w:pPr>
  </w:p>
  <w:p w:rsidR="00D01D02" w:rsidRDefault="000070FC">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32" w:rsidRDefault="00CD0F32">
      <w:r>
        <w:separator/>
      </w:r>
    </w:p>
  </w:footnote>
  <w:footnote w:type="continuationSeparator" w:id="0">
    <w:p w:rsidR="00CD0F32" w:rsidRDefault="00CD0F32">
      <w:r>
        <w:continuationSeparator/>
      </w:r>
    </w:p>
  </w:footnote>
  <w:footnote w:id="1">
    <w:p w:rsidR="00D01D02" w:rsidRDefault="000070FC">
      <w:pPr>
        <w:pStyle w:val="FootnoteText"/>
        <w:rPr>
          <w:lang w:val="en-GB"/>
        </w:rPr>
      </w:pPr>
      <w:r>
        <w:rPr>
          <w:rStyle w:val="FootnoteReference"/>
        </w:rPr>
        <w:footnoteRef/>
      </w:r>
      <w:r>
        <w:t xml:space="preserve"> Về việc đề nghị cung cấp thông tin, số liệu phục vụ tính toán, hoàn thiện đề án điều chỉnh Quy hoạch điện VIII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02"/>
    <w:rsid w:val="000070FC"/>
    <w:rsid w:val="00155EA4"/>
    <w:rsid w:val="0034249F"/>
    <w:rsid w:val="00950587"/>
    <w:rsid w:val="00CD0F32"/>
    <w:rsid w:val="00D01D02"/>
    <w:rsid w:val="00D65C91"/>
    <w:rsid w:val="00EF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FC07-844F-4398-BFE4-5BAE938F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Dell</cp:lastModifiedBy>
  <cp:revision>73</cp:revision>
  <cp:lastPrinted>2024-12-30T01:59:00Z</cp:lastPrinted>
  <dcterms:created xsi:type="dcterms:W3CDTF">2024-06-09T04:02:00Z</dcterms:created>
  <dcterms:modified xsi:type="dcterms:W3CDTF">2025-01-24T03:45:00Z</dcterms:modified>
</cp:coreProperties>
</file>