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1" w:type="dxa"/>
        <w:jc w:val="center"/>
        <w:tblLook w:val="04A0" w:firstRow="1" w:lastRow="0" w:firstColumn="1" w:lastColumn="0" w:noHBand="0" w:noVBand="1"/>
      </w:tblPr>
      <w:tblGrid>
        <w:gridCol w:w="3417"/>
        <w:gridCol w:w="6164"/>
      </w:tblGrid>
      <w:tr w:rsidR="006826E0" w:rsidTr="006826E0">
        <w:trPr>
          <w:trHeight w:val="699"/>
          <w:jc w:val="center"/>
        </w:trPr>
        <w:tc>
          <w:tcPr>
            <w:tcW w:w="3417" w:type="dxa"/>
            <w:hideMark/>
          </w:tcPr>
          <w:p w:rsidR="006826E0" w:rsidRDefault="006826E0">
            <w:pPr>
              <w:spacing w:after="0" w:line="240" w:lineRule="auto"/>
              <w:jc w:val="center"/>
              <w:rPr>
                <w:rFonts w:eastAsia="Times New Roman" w:cs="Times New Roman"/>
                <w:b/>
                <w:bCs/>
                <w:sz w:val="26"/>
                <w:szCs w:val="26"/>
              </w:rPr>
            </w:pPr>
            <w:r>
              <w:rPr>
                <w:rFonts w:eastAsia="Times New Roman" w:cs="Times New Roman"/>
                <w:b/>
                <w:bCs/>
                <w:sz w:val="26"/>
                <w:szCs w:val="26"/>
              </w:rPr>
              <w:t>ỦY BAN NHÂN DÂN</w:t>
            </w:r>
          </w:p>
          <w:p w:rsidR="006826E0" w:rsidRDefault="006826E0">
            <w:pPr>
              <w:spacing w:after="0" w:line="240" w:lineRule="auto"/>
              <w:jc w:val="center"/>
              <w:rPr>
                <w:rFonts w:eastAsia="Times New Roman" w:cs="Times New Roman"/>
                <w:b/>
                <w:bCs/>
                <w:sz w:val="26"/>
                <w:szCs w:val="26"/>
              </w:rPr>
            </w:pPr>
            <w:r>
              <w:rPr>
                <w:rFonts w:eastAsia="Times New Roman" w:cs="Times New Roman"/>
                <w:b/>
                <w:bCs/>
                <w:sz w:val="26"/>
                <w:szCs w:val="26"/>
              </w:rPr>
              <w:t>TỈNH HÀ TĨNH</w:t>
            </w:r>
          </w:p>
        </w:tc>
        <w:tc>
          <w:tcPr>
            <w:tcW w:w="6164" w:type="dxa"/>
            <w:hideMark/>
          </w:tcPr>
          <w:p w:rsidR="006826E0" w:rsidRDefault="006826E0">
            <w:pPr>
              <w:spacing w:after="0" w:line="240" w:lineRule="auto"/>
              <w:jc w:val="center"/>
              <w:rPr>
                <w:rFonts w:eastAsia="Times New Roman" w:cs="Times New Roman"/>
                <w:b/>
                <w:bCs/>
                <w:sz w:val="26"/>
                <w:szCs w:val="26"/>
              </w:rPr>
            </w:pPr>
            <w:r>
              <w:rPr>
                <w:rFonts w:eastAsia="Times New Roman" w:cs="Times New Roman"/>
                <w:b/>
                <w:bCs/>
                <w:sz w:val="26"/>
                <w:szCs w:val="26"/>
              </w:rPr>
              <w:t>CỘNG HÒA XÃ HỘI CHỦ NGHĨA VIỆT NAM</w:t>
            </w:r>
          </w:p>
          <w:p w:rsidR="006826E0" w:rsidRDefault="006826E0">
            <w:pPr>
              <w:keepNext/>
              <w:spacing w:after="0" w:line="240" w:lineRule="auto"/>
              <w:jc w:val="center"/>
              <w:outlineLvl w:val="0"/>
              <w:rPr>
                <w:rFonts w:eastAsia="Times New Roman" w:cs="Times New Roman"/>
                <w:i/>
                <w:iCs/>
                <w:sz w:val="26"/>
                <w:szCs w:val="26"/>
              </w:rPr>
            </w:pPr>
            <w:r>
              <w:rPr>
                <w:rFonts w:eastAsia="Times New Roman" w:cs="Times New Roman"/>
                <w:b/>
                <w:bCs/>
                <w:sz w:val="28"/>
                <w:szCs w:val="26"/>
              </w:rPr>
              <w:t>Độc lập - Tự do - Hạnh phúc</w:t>
            </w:r>
          </w:p>
        </w:tc>
      </w:tr>
      <w:tr w:rsidR="006826E0" w:rsidTr="006826E0">
        <w:trPr>
          <w:jc w:val="center"/>
        </w:trPr>
        <w:tc>
          <w:tcPr>
            <w:tcW w:w="3417" w:type="dxa"/>
            <w:hideMark/>
          </w:tcPr>
          <w:p w:rsidR="006826E0" w:rsidRDefault="006826E0">
            <w:pPr>
              <w:spacing w:before="180" w:after="0" w:line="240" w:lineRule="auto"/>
              <w:jc w:val="center"/>
              <w:rPr>
                <w:rFonts w:eastAsia="Times New Roman" w:cs="Times New Roman"/>
                <w:b/>
                <w:bCs/>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739775</wp:posOffset>
                      </wp:positionH>
                      <wp:positionV relativeFrom="paragraph">
                        <wp:posOffset>-2540</wp:posOffset>
                      </wp:positionV>
                      <wp:extent cx="55308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A7B0ED" id="Straight Connector 3" o:spid="_x0000_s1026" style="position:absolute;flip:y;z-index:251659264;visibility:visible;mso-wrap-style:square;mso-width-percent:0;mso-height-percent:0;mso-wrap-distance-left:9pt;mso-wrap-distance-top:.ûmm;mso-wrap-distance-right:9pt;mso-wrap-distance-bottom:.ûmm;mso-position-horizontal:absolute;mso-position-horizontal-relative:text;mso-position-vertical:absolute;mso-position-vertical-relative:text;mso-width-percent:0;mso-height-percent:0;mso-width-relative:page;mso-height-relative:page" from="58.25pt,-.2pt" to="101.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"/>
                  </w:pict>
                </mc:Fallback>
              </mc:AlternateContent>
            </w:r>
            <w:r>
              <w:rPr>
                <w:rFonts w:eastAsia="Times New Roman" w:cs="Times New Roman"/>
                <w:sz w:val="26"/>
                <w:szCs w:val="26"/>
              </w:rPr>
              <w:t>Số:            /QĐ-UBND</w:t>
            </w:r>
          </w:p>
        </w:tc>
        <w:tc>
          <w:tcPr>
            <w:tcW w:w="6164" w:type="dxa"/>
            <w:hideMark/>
          </w:tcPr>
          <w:p w:rsidR="006826E0" w:rsidRDefault="006826E0">
            <w:pPr>
              <w:spacing w:before="180" w:after="0" w:line="240" w:lineRule="auto"/>
              <w:jc w:val="center"/>
              <w:rPr>
                <w:rFonts w:eastAsia="Times New Roman" w:cs="Times New Roman"/>
                <w:b/>
                <w:bCs/>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769620</wp:posOffset>
                      </wp:positionH>
                      <wp:positionV relativeFrom="paragraph">
                        <wp:posOffset>-6985</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57113B" id="Straight Connector 2" o:spid="_x0000_s1026" style="position:absolute;z-index:251660288;visibility:visible;mso-wrap-style:square;mso-width-percent:0;mso-height-percent:0;mso-wrap-distance-left:9pt;mso-wrap-distance-top:.ûmm;mso-wrap-distance-right:9pt;mso-wrap-distance-bottom:.ûmm;mso-position-horizontal:absolute;mso-position-horizontal-relative:text;mso-position-vertical:absolute;mso-position-vertical-relative:text;mso-width-percent:0;mso-height-percent:0;mso-width-relative:page;mso-height-relative:page" from="60.6pt,-.55pt" to="2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"/>
                  </w:pict>
                </mc:Fallback>
              </mc:AlternateContent>
            </w:r>
            <w:r>
              <w:rPr>
                <w:rFonts w:eastAsia="Times New Roman" w:cs="Times New Roman"/>
                <w:i/>
                <w:iCs/>
                <w:sz w:val="28"/>
                <w:szCs w:val="26"/>
              </w:rPr>
              <w:t>Hà Tĩnh, ngày       tháng       năm 2024</w:t>
            </w:r>
          </w:p>
        </w:tc>
      </w:tr>
    </w:tbl>
    <w:p w:rsidR="006826E0" w:rsidRDefault="006826E0" w:rsidP="0078367D">
      <w:pPr>
        <w:spacing w:after="0" w:line="240" w:lineRule="auto"/>
        <w:rPr>
          <w:rFonts w:eastAsia="Times New Roman" w:cs="Times New Roman"/>
          <w:b/>
          <w:sz w:val="5"/>
          <w:szCs w:val="27"/>
        </w:rPr>
      </w:pPr>
    </w:p>
    <w:p w:rsidR="00276F6F" w:rsidRDefault="00276F6F" w:rsidP="006826E0">
      <w:pPr>
        <w:spacing w:after="0" w:line="240" w:lineRule="auto"/>
        <w:jc w:val="center"/>
        <w:rPr>
          <w:rFonts w:eastAsia="Times New Roman" w:cs="Times New Roman"/>
          <w:b/>
          <w:sz w:val="5"/>
          <w:szCs w:val="27"/>
        </w:rPr>
      </w:pPr>
    </w:p>
    <w:p w:rsidR="00276F6F" w:rsidRDefault="00276F6F" w:rsidP="006826E0">
      <w:pPr>
        <w:spacing w:after="0" w:line="240" w:lineRule="auto"/>
        <w:jc w:val="center"/>
        <w:rPr>
          <w:rFonts w:eastAsia="Times New Roman" w:cs="Times New Roman"/>
          <w:b/>
          <w:sz w:val="5"/>
          <w:szCs w:val="27"/>
        </w:rPr>
      </w:pPr>
    </w:p>
    <w:p w:rsidR="00276F6F" w:rsidRDefault="00276F6F" w:rsidP="006826E0">
      <w:pPr>
        <w:spacing w:after="0" w:line="240" w:lineRule="auto"/>
        <w:jc w:val="center"/>
        <w:rPr>
          <w:rFonts w:eastAsia="Times New Roman" w:cs="Times New Roman"/>
          <w:b/>
          <w:sz w:val="5"/>
          <w:szCs w:val="27"/>
        </w:rPr>
      </w:pPr>
    </w:p>
    <w:p w:rsidR="00276F6F" w:rsidRDefault="00276F6F" w:rsidP="006826E0">
      <w:pPr>
        <w:spacing w:after="0" w:line="240" w:lineRule="auto"/>
        <w:jc w:val="center"/>
        <w:rPr>
          <w:rFonts w:eastAsia="Times New Roman" w:cs="Times New Roman"/>
          <w:b/>
          <w:sz w:val="5"/>
          <w:szCs w:val="27"/>
        </w:rPr>
      </w:pPr>
    </w:p>
    <w:p w:rsidR="006826E0" w:rsidRDefault="006826E0" w:rsidP="006826E0">
      <w:pPr>
        <w:spacing w:after="0" w:line="240" w:lineRule="auto"/>
        <w:jc w:val="center"/>
        <w:rPr>
          <w:rFonts w:eastAsia="Times New Roman" w:cs="Times New Roman"/>
          <w:b/>
          <w:sz w:val="9"/>
          <w:szCs w:val="27"/>
        </w:rPr>
      </w:pPr>
    </w:p>
    <w:p w:rsidR="006826E0" w:rsidRPr="00276F6F" w:rsidRDefault="006826E0" w:rsidP="00276F6F">
      <w:pPr>
        <w:spacing w:after="0" w:line="240" w:lineRule="auto"/>
        <w:jc w:val="center"/>
        <w:rPr>
          <w:rFonts w:eastAsia="Times New Roman" w:cs="Times New Roman"/>
          <w:b/>
          <w:sz w:val="27"/>
          <w:szCs w:val="27"/>
        </w:rPr>
      </w:pPr>
      <w:r>
        <w:rPr>
          <w:rFonts w:eastAsia="Times New Roman" w:cs="Times New Roman"/>
          <w:b/>
          <w:sz w:val="27"/>
          <w:szCs w:val="27"/>
        </w:rPr>
        <w:t>QUYẾT ĐỊNH</w:t>
      </w:r>
    </w:p>
    <w:p w:rsidR="006826E0" w:rsidRDefault="006826E0" w:rsidP="00276F6F">
      <w:pPr>
        <w:spacing w:after="0" w:line="240" w:lineRule="auto"/>
        <w:jc w:val="center"/>
        <w:rPr>
          <w:rFonts w:eastAsia="Times New Roman" w:cs="Times New Roman"/>
          <w:b/>
          <w:sz w:val="28"/>
          <w:szCs w:val="28"/>
        </w:rPr>
      </w:pPr>
      <w:r>
        <w:rPr>
          <w:rFonts w:eastAsia="Times New Roman" w:cs="Times New Roman"/>
          <w:b/>
          <w:sz w:val="28"/>
          <w:szCs w:val="28"/>
        </w:rPr>
        <w:t xml:space="preserve">Về việc bổ sung dự toán </w:t>
      </w:r>
      <w:r>
        <w:rPr>
          <w:rFonts w:eastAsia="Times New Roman" w:cs="Times New Roman"/>
          <w:b/>
          <w:sz w:val="28"/>
          <w:szCs w:val="28"/>
          <w:lang w:val="vi-VN"/>
        </w:rPr>
        <w:t xml:space="preserve">ngân sách năm 2024 </w:t>
      </w:r>
      <w:r>
        <w:rPr>
          <w:rFonts w:eastAsia="Times New Roman" w:cs="Times New Roman"/>
          <w:b/>
          <w:sz w:val="28"/>
          <w:szCs w:val="28"/>
        </w:rPr>
        <w:t>cho Sở Giáo dục và Đào tạo</w:t>
      </w:r>
    </w:p>
    <w:p w:rsidR="00276F6F" w:rsidRDefault="00276F6F" w:rsidP="006826E0">
      <w:pPr>
        <w:spacing w:after="360" w:line="240" w:lineRule="auto"/>
        <w:jc w:val="center"/>
        <w:rPr>
          <w:rFonts w:eastAsia="Times New Roman" w:cs="Times New Roman"/>
          <w:b/>
          <w:sz w:val="28"/>
          <w:szCs w:val="28"/>
        </w:rPr>
      </w:pPr>
      <w:r>
        <w:rPr>
          <w:noProof/>
        </w:rPr>
        <mc:AlternateContent>
          <mc:Choice Requires="wps">
            <w:drawing>
              <wp:anchor distT="4294967295" distB="4294967295" distL="114300" distR="114300" simplePos="0" relativeHeight="251662336" behindDoc="0" locked="0" layoutInCell="1" allowOverlap="1" wp14:anchorId="3BB0CD31" wp14:editId="08BC9C08">
                <wp:simplePos x="0" y="0"/>
                <wp:positionH relativeFrom="column">
                  <wp:posOffset>2327275</wp:posOffset>
                </wp:positionH>
                <wp:positionV relativeFrom="paragraph">
                  <wp:posOffset>80073</wp:posOffset>
                </wp:positionV>
                <wp:extent cx="1125997"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5997"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5F67A3" id="Straight Connector 4" o:spid="_x0000_s1026" style="position:absolute;z-index:251662336;visibility:visible;mso-wrap-style:square;mso-width-percent:0;mso-height-percent:0;mso-wrap-distance-left:9pt;mso-wrap-distance-top:.ûmm;mso-wrap-distance-right:9pt;mso-wrap-distance-bottom:.ûmm;mso-position-horizontal:absolute;mso-position-horizontal-relative:text;mso-position-vertical:absolute;mso-position-vertical-relative:text;mso-width-percent:0;mso-height-percent:0;mso-width-relative:page;mso-height-relative:page" from="183.25pt,6.3pt" to="27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" strokecolor="#5b9bd5" strokeweight=".5pt">
                <v:stroke joinstyle="miter"/>
                <o:lock v:ext="edit" shapetype="f"/>
              </v:line>
            </w:pict>
          </mc:Fallback>
        </mc:AlternateContent>
      </w:r>
    </w:p>
    <w:p w:rsidR="006826E0" w:rsidRDefault="006826E0" w:rsidP="006826E0">
      <w:pPr>
        <w:spacing w:after="360" w:line="240" w:lineRule="auto"/>
        <w:jc w:val="center"/>
        <w:rPr>
          <w:rFonts w:eastAsia="Times New Roman" w:cs="Times New Roman"/>
          <w:b/>
          <w:sz w:val="28"/>
          <w:szCs w:val="28"/>
        </w:rPr>
      </w:pPr>
      <w:r>
        <w:rPr>
          <w:rFonts w:eastAsia="Times New Roman" w:cs="Times New Roman"/>
          <w:b/>
          <w:sz w:val="28"/>
          <w:szCs w:val="28"/>
        </w:rPr>
        <w:t>ỦY BAN NHÂN DÂN TỈNH</w:t>
      </w:r>
    </w:p>
    <w:p w:rsidR="006826E0" w:rsidRDefault="006826E0" w:rsidP="0078367D">
      <w:pPr>
        <w:spacing w:after="0" w:line="240" w:lineRule="auto"/>
        <w:ind w:firstLine="720"/>
        <w:jc w:val="both"/>
        <w:rPr>
          <w:rFonts w:eastAsia="Times New Roman" w:cs="Times New Roman"/>
          <w:i/>
          <w:sz w:val="28"/>
          <w:szCs w:val="28"/>
        </w:rPr>
      </w:pPr>
      <w:r>
        <w:rPr>
          <w:rFonts w:eastAsia="Times New Roman" w:cs="Times New Roman"/>
          <w:i/>
          <w:sz w:val="28"/>
          <w:szCs w:val="28"/>
        </w:rPr>
        <w:t>Căn cứ Luật Tổ chức chín</w:t>
      </w:r>
      <w:r>
        <w:rPr>
          <w:rFonts w:eastAsia="Times New Roman" w:cs="Times New Roman"/>
          <w:i/>
          <w:sz w:val="28"/>
          <w:szCs w:val="28"/>
          <w:lang w:val="vi-VN"/>
        </w:rPr>
        <w:t>h</w:t>
      </w:r>
      <w:r>
        <w:rPr>
          <w:rFonts w:eastAsia="Times New Roman" w:cs="Times New Roman"/>
          <w:i/>
          <w:sz w:val="28"/>
          <w:szCs w:val="28"/>
        </w:rPr>
        <w:t xml:space="preserve"> quyền địa phương n</w:t>
      </w:r>
      <w:r>
        <w:rPr>
          <w:rFonts w:eastAsia="Times New Roman" w:cs="Times New Roman"/>
          <w:i/>
          <w:sz w:val="28"/>
          <w:szCs w:val="28"/>
          <w:lang w:val="vi-VN"/>
        </w:rPr>
        <w:t>g</w:t>
      </w:r>
      <w:r>
        <w:rPr>
          <w:rFonts w:eastAsia="Times New Roman" w:cs="Times New Roman"/>
          <w:i/>
          <w:sz w:val="28"/>
          <w:szCs w:val="28"/>
        </w:rPr>
        <w:t>ày 19/6/2015;</w:t>
      </w:r>
      <w:r>
        <w:rPr>
          <w:rFonts w:eastAsia="Times New Roman" w:cs="Times New Roman"/>
          <w:i/>
          <w:spacing w:val="-2"/>
          <w:position w:val="-2"/>
          <w:sz w:val="28"/>
          <w:szCs w:val="28"/>
          <w:lang w:val="pt-BR"/>
        </w:rPr>
        <w:t xml:space="preserve"> Luật sửa đổi, bổ sung một số điều của Luật Tổ chức Chính phủ và Luật Tổ chức chính quyền địa phương ngày 22/11/2019;</w:t>
      </w:r>
    </w:p>
    <w:p w:rsidR="006826E0" w:rsidRDefault="006826E0" w:rsidP="0078367D">
      <w:pPr>
        <w:spacing w:after="0" w:line="240" w:lineRule="auto"/>
        <w:ind w:firstLine="720"/>
        <w:jc w:val="both"/>
        <w:rPr>
          <w:rFonts w:eastAsia="Times New Roman" w:cs="Times New Roman"/>
          <w:i/>
          <w:sz w:val="28"/>
          <w:szCs w:val="28"/>
        </w:rPr>
      </w:pPr>
      <w:r>
        <w:rPr>
          <w:rFonts w:eastAsia="Times New Roman" w:cs="Times New Roman"/>
          <w:i/>
          <w:sz w:val="28"/>
          <w:szCs w:val="28"/>
        </w:rPr>
        <w:t>Căn cứ Luật Ngân sách Nhà nước ngày 25/6/2015;</w:t>
      </w:r>
    </w:p>
    <w:p w:rsidR="00276F6F" w:rsidRDefault="006826E0" w:rsidP="0078367D">
      <w:pPr>
        <w:spacing w:after="0" w:line="240" w:lineRule="auto"/>
        <w:ind w:firstLine="720"/>
        <w:jc w:val="both"/>
        <w:rPr>
          <w:bCs/>
          <w:i/>
          <w:sz w:val="28"/>
          <w:szCs w:val="28"/>
        </w:rPr>
      </w:pPr>
      <w:r>
        <w:rPr>
          <w:bCs/>
          <w:i/>
          <w:sz w:val="28"/>
          <w:szCs w:val="28"/>
        </w:rPr>
        <w:t xml:space="preserve">Căn cứ Nghị định số 81/2021/NĐ-CP ngày 27/8/2021 của Chính phủ Quy định cơ chế thu, quản lý học phí đối với cơ sở giáo dục thuộc hệ thống giáo dục quốc dân và chính sách miễn, giảm học phí, hỗ trợ chi phí học tập; giá dịch vụ trong lĩnh vực giáo dục, đào tạo; Nghị đinh số 28/2012/NĐ-CP ngày 10/4/2012 của Chính Phủ quy định chi tiết và hướng dẫn thi hành một số điều của Luật Người khuyết tật; Nghị định số 140/2017/NĐ-CP ngày 05/12/2017 của Chính phủ về chính sách thu hút, tạo nguồn cán bộ từ sinh viên tốt nghiệp xuất sắc, cán bộ khoa học trẻ; </w:t>
      </w:r>
    </w:p>
    <w:p w:rsidR="006826E0" w:rsidRDefault="00276F6F" w:rsidP="0078367D">
      <w:pPr>
        <w:spacing w:after="0" w:line="240" w:lineRule="auto"/>
        <w:ind w:firstLine="720"/>
        <w:jc w:val="both"/>
        <w:rPr>
          <w:bCs/>
          <w:i/>
          <w:sz w:val="28"/>
          <w:szCs w:val="28"/>
        </w:rPr>
      </w:pPr>
      <w:r>
        <w:rPr>
          <w:bCs/>
          <w:i/>
          <w:sz w:val="28"/>
          <w:szCs w:val="28"/>
        </w:rPr>
        <w:t xml:space="preserve">Căn cứ </w:t>
      </w:r>
      <w:r w:rsidR="006826E0">
        <w:rPr>
          <w:bCs/>
          <w:i/>
          <w:sz w:val="28"/>
          <w:szCs w:val="28"/>
        </w:rPr>
        <w:t>Thông tư liên tịch số 42/2013/TTLT-BGDĐTBLĐTBXH-BTC ngày 31/12/2013 của Bộ GDĐT - Bộ LĐTBXH - Bộ Tài chính quy định chính sách</w:t>
      </w:r>
      <w:r w:rsidR="006826E0">
        <w:rPr>
          <w:bCs/>
          <w:i/>
          <w:sz w:val="28"/>
          <w:szCs w:val="28"/>
          <w:lang w:val="vi-VN"/>
        </w:rPr>
        <w:t xml:space="preserve"> về</w:t>
      </w:r>
      <w:r w:rsidR="006826E0">
        <w:rPr>
          <w:bCs/>
          <w:i/>
          <w:sz w:val="28"/>
          <w:szCs w:val="28"/>
        </w:rPr>
        <w:t xml:space="preserve"> giáo dục đối với người khuyết tật;</w:t>
      </w:r>
    </w:p>
    <w:p w:rsidR="006826E0" w:rsidRDefault="006826E0" w:rsidP="0078367D">
      <w:pPr>
        <w:spacing w:after="0" w:line="240" w:lineRule="auto"/>
        <w:ind w:firstLine="720"/>
        <w:jc w:val="both"/>
        <w:rPr>
          <w:rFonts w:eastAsia="Times New Roman" w:cs="Times New Roman"/>
          <w:i/>
          <w:sz w:val="28"/>
          <w:szCs w:val="28"/>
        </w:rPr>
      </w:pPr>
      <w:r>
        <w:rPr>
          <w:bCs/>
          <w:i/>
          <w:sz w:val="28"/>
          <w:szCs w:val="28"/>
        </w:rPr>
        <w:t>Căn cứ Nghị quyết số 92/2022/NQ-HĐND ngày 16/12/2022 của Hội đồng nhân dân tỉnh quy định một số chính sách đối với giáo dục mầm non, giáo dục phổ thông, giáo dục thường xuyên và nội dung, mức chi thực hiện Đề án “Xây dựng xã hội học tập giai đoạn 2021-2023” trên địa bàn tỉnh Hà Tĩnh giai đoạn 2022-2025;</w:t>
      </w:r>
    </w:p>
    <w:p w:rsidR="006826E0" w:rsidRDefault="006826E0" w:rsidP="0078367D">
      <w:pPr>
        <w:spacing w:after="0" w:line="240" w:lineRule="auto"/>
        <w:ind w:firstLine="720"/>
        <w:jc w:val="both"/>
        <w:rPr>
          <w:rFonts w:eastAsia="Times New Roman" w:cs="Times New Roman"/>
          <w:i/>
          <w:sz w:val="28"/>
          <w:szCs w:val="28"/>
        </w:rPr>
      </w:pPr>
      <w:r>
        <w:rPr>
          <w:rFonts w:eastAsia="Times New Roman" w:cs="Times New Roman"/>
          <w:i/>
          <w:sz w:val="28"/>
          <w:szCs w:val="28"/>
        </w:rPr>
        <w:t xml:space="preserve">Theo đề nghị của Sở Tài chính tại Văn bản số </w:t>
      </w:r>
      <w:r w:rsidR="00276F6F">
        <w:rPr>
          <w:rFonts w:eastAsia="Times New Roman" w:cs="Times New Roman"/>
          <w:i/>
          <w:sz w:val="28"/>
          <w:szCs w:val="28"/>
        </w:rPr>
        <w:t>5500</w:t>
      </w:r>
      <w:r>
        <w:rPr>
          <w:rFonts w:eastAsia="Times New Roman" w:cs="Times New Roman"/>
          <w:i/>
          <w:sz w:val="28"/>
          <w:szCs w:val="28"/>
        </w:rPr>
        <w:t xml:space="preserve">/STC-HCSN ngày       </w:t>
      </w:r>
      <w:r w:rsidR="00276F6F">
        <w:rPr>
          <w:rFonts w:eastAsia="Times New Roman" w:cs="Times New Roman"/>
          <w:i/>
          <w:sz w:val="28"/>
          <w:szCs w:val="28"/>
        </w:rPr>
        <w:t>26/</w:t>
      </w:r>
      <w:r>
        <w:rPr>
          <w:rFonts w:eastAsia="Times New Roman" w:cs="Times New Roman"/>
          <w:i/>
          <w:sz w:val="28"/>
          <w:szCs w:val="28"/>
        </w:rPr>
        <w:t>11/2024 (trên cơ sở đề xuất của Sở Giáo dục và Đào tạo tại Văn bản số</w:t>
      </w:r>
      <w:r>
        <w:rPr>
          <w:rFonts w:eastAsia="Times New Roman" w:cs="Times New Roman"/>
          <w:i/>
          <w:sz w:val="28"/>
          <w:szCs w:val="28"/>
          <w:lang w:val="vi-VN"/>
        </w:rPr>
        <w:t xml:space="preserve"> </w:t>
      </w:r>
      <w:r>
        <w:rPr>
          <w:rFonts w:eastAsia="Times New Roman" w:cs="Times New Roman"/>
          <w:i/>
          <w:sz w:val="28"/>
          <w:szCs w:val="28"/>
        </w:rPr>
        <w:t>2580/SGDĐT-KHTC ngày 12/11/2024).</w:t>
      </w:r>
    </w:p>
    <w:p w:rsidR="006826E0" w:rsidRDefault="006826E0" w:rsidP="006826E0">
      <w:pPr>
        <w:spacing w:before="120" w:after="120" w:line="320" w:lineRule="exact"/>
        <w:ind w:firstLine="720"/>
        <w:jc w:val="center"/>
        <w:rPr>
          <w:rFonts w:eastAsia="Times New Roman" w:cs="Times New Roman"/>
          <w:b/>
          <w:sz w:val="28"/>
          <w:szCs w:val="28"/>
        </w:rPr>
      </w:pPr>
      <w:r>
        <w:rPr>
          <w:rFonts w:eastAsia="Times New Roman" w:cs="Times New Roman"/>
          <w:b/>
          <w:sz w:val="28"/>
          <w:szCs w:val="28"/>
        </w:rPr>
        <w:t>QUYẾT ĐỊNH:</w:t>
      </w:r>
    </w:p>
    <w:p w:rsidR="006826E0" w:rsidRDefault="006826E0" w:rsidP="00276F6F">
      <w:pPr>
        <w:spacing w:before="60" w:after="0" w:line="240" w:lineRule="auto"/>
        <w:ind w:firstLine="720"/>
        <w:jc w:val="both"/>
        <w:rPr>
          <w:bCs/>
          <w:spacing w:val="-2"/>
          <w:sz w:val="28"/>
          <w:szCs w:val="28"/>
          <w:lang w:val="vi-VN"/>
        </w:rPr>
      </w:pPr>
      <w:r>
        <w:rPr>
          <w:rFonts w:eastAsia="Times New Roman" w:cs="Times New Roman"/>
          <w:b/>
          <w:sz w:val="28"/>
          <w:szCs w:val="28"/>
        </w:rPr>
        <w:t>Điều 1</w:t>
      </w:r>
      <w:r>
        <w:rPr>
          <w:rFonts w:eastAsia="Times New Roman" w:cs="Times New Roman"/>
          <w:sz w:val="28"/>
          <w:szCs w:val="28"/>
        </w:rPr>
        <w:t xml:space="preserve">. </w:t>
      </w:r>
      <w:r>
        <w:rPr>
          <w:spacing w:val="-2"/>
          <w:sz w:val="28"/>
          <w:szCs w:val="28"/>
        </w:rPr>
        <w:t xml:space="preserve">Trích </w:t>
      </w:r>
      <w:r>
        <w:rPr>
          <w:bCs/>
          <w:spacing w:val="-2"/>
          <w:sz w:val="28"/>
          <w:szCs w:val="28"/>
        </w:rPr>
        <w:t>3.630.414.000</w:t>
      </w:r>
      <w:r>
        <w:rPr>
          <w:bCs/>
          <w:spacing w:val="-2"/>
          <w:sz w:val="28"/>
          <w:szCs w:val="28"/>
          <w:lang w:val="vi-VN"/>
        </w:rPr>
        <w:t xml:space="preserve"> </w:t>
      </w:r>
      <w:r>
        <w:rPr>
          <w:bCs/>
          <w:spacing w:val="-2"/>
          <w:sz w:val="28"/>
          <w:szCs w:val="28"/>
        </w:rPr>
        <w:t>đồng</w:t>
      </w:r>
      <w:r>
        <w:rPr>
          <w:spacing w:val="-2"/>
          <w:sz w:val="28"/>
          <w:szCs w:val="28"/>
        </w:rPr>
        <w:t xml:space="preserve"> từ </w:t>
      </w:r>
      <w:r>
        <w:rPr>
          <w:spacing w:val="-2"/>
          <w:sz w:val="28"/>
          <w:szCs w:val="28"/>
          <w:lang w:val="vi-VN"/>
        </w:rPr>
        <w:t>nguồn ngân sách</w:t>
      </w:r>
      <w:r>
        <w:rPr>
          <w:spacing w:val="-2"/>
          <w:sz w:val="28"/>
          <w:szCs w:val="28"/>
        </w:rPr>
        <w:t xml:space="preserve"> cấp</w:t>
      </w:r>
      <w:r>
        <w:rPr>
          <w:spacing w:val="-2"/>
          <w:sz w:val="28"/>
          <w:szCs w:val="28"/>
          <w:lang w:val="vi-VN"/>
        </w:rPr>
        <w:t xml:space="preserve"> tỉnh năm 2024 để </w:t>
      </w:r>
      <w:r>
        <w:rPr>
          <w:spacing w:val="-2"/>
          <w:sz w:val="28"/>
          <w:szCs w:val="28"/>
        </w:rPr>
        <w:t>bổ sung dự toán cho Sở Giáo dục và Đào tạo thực hiện các chính sách cho giáo viên và học sinh, trong đó</w:t>
      </w:r>
      <w:r>
        <w:rPr>
          <w:spacing w:val="-2"/>
          <w:sz w:val="28"/>
          <w:szCs w:val="28"/>
          <w:lang w:val="vi-VN"/>
        </w:rPr>
        <w:t>:</w:t>
      </w:r>
    </w:p>
    <w:p w:rsidR="006826E0" w:rsidRDefault="006826E0" w:rsidP="00276F6F">
      <w:pPr>
        <w:spacing w:before="60" w:after="0" w:line="240" w:lineRule="auto"/>
        <w:ind w:firstLine="720"/>
        <w:jc w:val="both"/>
        <w:rPr>
          <w:bCs/>
          <w:sz w:val="28"/>
          <w:szCs w:val="28"/>
          <w:lang w:val="vi-VN"/>
        </w:rPr>
      </w:pPr>
      <w:r>
        <w:rPr>
          <w:bCs/>
          <w:sz w:val="28"/>
          <w:szCs w:val="28"/>
          <w:lang w:val="vi-VN"/>
        </w:rPr>
        <w:t xml:space="preserve">a) Trích 1.807.020.000 </w:t>
      </w:r>
      <w:r>
        <w:rPr>
          <w:sz w:val="28"/>
          <w:szCs w:val="28"/>
          <w:lang w:val="vi-VN"/>
        </w:rPr>
        <w:t>đồng t</w:t>
      </w:r>
      <w:r>
        <w:rPr>
          <w:bCs/>
          <w:sz w:val="28"/>
          <w:szCs w:val="28"/>
          <w:lang w:val="vi-VN"/>
        </w:rPr>
        <w:t xml:space="preserve">ừ </w:t>
      </w:r>
      <w:r>
        <w:rPr>
          <w:sz w:val="28"/>
          <w:szCs w:val="28"/>
          <w:lang w:val="vi-VN"/>
        </w:rPr>
        <w:t>nguồn “Chính sách đối với giáo dục mầm non, giáo dục phổ thông và giáo dục thường xuyên giai đoạn 2023-2025 và nội dung, mức chi thực hiện Đề án Xây dựng xã hội học tập giai đoạn 2021-2030 theo Nghị quyết số 92/2022/NQ-HĐND”</w:t>
      </w:r>
      <w:r w:rsidR="00276F6F">
        <w:rPr>
          <w:sz w:val="28"/>
          <w:szCs w:val="28"/>
        </w:rPr>
        <w:t xml:space="preserve"> của HĐND tỉnh </w:t>
      </w:r>
      <w:r>
        <w:rPr>
          <w:sz w:val="28"/>
          <w:szCs w:val="28"/>
          <w:lang w:val="vi-VN"/>
        </w:rPr>
        <w:t xml:space="preserve"> được bố trí trong dự toán chi ngân sách cấp tỉnh năm 2024 </w:t>
      </w:r>
      <w:r>
        <w:rPr>
          <w:color w:val="000000"/>
          <w:sz w:val="28"/>
          <w:szCs w:val="28"/>
          <w:lang w:val="vi-VN"/>
        </w:rPr>
        <w:t>(</w:t>
      </w:r>
      <w:r>
        <w:rPr>
          <w:bCs/>
          <w:spacing w:val="-6"/>
          <w:sz w:val="28"/>
          <w:szCs w:val="28"/>
          <w:lang w:val="vi-VN"/>
        </w:rPr>
        <w:t xml:space="preserve">tại khoản 2 Mục II Phụ lục số 02 ban hành kèm theo Quyết định số </w:t>
      </w:r>
      <w:r>
        <w:rPr>
          <w:sz w:val="28"/>
          <w:szCs w:val="28"/>
          <w:lang w:val="vi-VN"/>
        </w:rPr>
        <w:t xml:space="preserve">3355/QĐ-UBND ngày 18/12/2023 của UBND tỉnh) để thực hiện chính sách </w:t>
      </w:r>
      <w:r>
        <w:rPr>
          <w:bCs/>
          <w:sz w:val="28"/>
          <w:szCs w:val="28"/>
          <w:lang w:val="vi-VN"/>
        </w:rPr>
        <w:t>hỗ trợ theo quy định tại Nghị quyết số 92/2022/NQ-HĐND</w:t>
      </w:r>
      <w:r w:rsidR="00276F6F">
        <w:rPr>
          <w:bCs/>
          <w:sz w:val="28"/>
          <w:szCs w:val="28"/>
        </w:rPr>
        <w:t xml:space="preserve"> ngày 16/12/2022</w:t>
      </w:r>
      <w:r>
        <w:rPr>
          <w:bCs/>
          <w:sz w:val="28"/>
          <w:szCs w:val="28"/>
          <w:lang w:val="vi-VN"/>
        </w:rPr>
        <w:t xml:space="preserve"> của HĐND tỉnh.</w:t>
      </w:r>
    </w:p>
    <w:p w:rsidR="006826E0" w:rsidRDefault="006826E0" w:rsidP="00276F6F">
      <w:pPr>
        <w:spacing w:before="60" w:after="0" w:line="240" w:lineRule="auto"/>
        <w:ind w:firstLine="720"/>
        <w:jc w:val="both"/>
        <w:rPr>
          <w:color w:val="000000"/>
          <w:sz w:val="28"/>
          <w:szCs w:val="28"/>
        </w:rPr>
      </w:pPr>
      <w:r>
        <w:rPr>
          <w:sz w:val="28"/>
          <w:szCs w:val="28"/>
          <w:lang w:val="vi-VN"/>
        </w:rPr>
        <w:lastRenderedPageBreak/>
        <w:t>b) Trích 962.370.000 đồng t</w:t>
      </w:r>
      <w:r>
        <w:rPr>
          <w:color w:val="000000"/>
          <w:sz w:val="28"/>
          <w:szCs w:val="28"/>
          <w:lang w:val="vi-VN"/>
        </w:rPr>
        <w:t>ừ nguồn “Cấp bù miễn</w:t>
      </w:r>
      <w:r w:rsidR="00CF538C">
        <w:rPr>
          <w:color w:val="000000"/>
          <w:sz w:val="28"/>
          <w:szCs w:val="28"/>
          <w:lang w:val="vi-VN"/>
        </w:rPr>
        <w:t>,</w:t>
      </w:r>
      <w:r>
        <w:rPr>
          <w:color w:val="000000"/>
          <w:sz w:val="28"/>
          <w:szCs w:val="28"/>
          <w:lang w:val="vi-VN"/>
        </w:rPr>
        <w:t xml:space="preserve"> giảm họ</w:t>
      </w:r>
      <w:r w:rsidR="00276F6F">
        <w:rPr>
          <w:color w:val="000000"/>
          <w:sz w:val="28"/>
          <w:szCs w:val="28"/>
          <w:lang w:val="vi-VN"/>
        </w:rPr>
        <w:t>c phí theo N</w:t>
      </w:r>
      <w:r w:rsidR="00276F6F">
        <w:rPr>
          <w:color w:val="000000"/>
          <w:sz w:val="28"/>
          <w:szCs w:val="28"/>
        </w:rPr>
        <w:t>ghị định số</w:t>
      </w:r>
      <w:r>
        <w:rPr>
          <w:color w:val="000000"/>
          <w:sz w:val="28"/>
          <w:szCs w:val="28"/>
          <w:lang w:val="vi-VN"/>
        </w:rPr>
        <w:t xml:space="preserve"> 81/2021/NĐ-CP ngày 27/8/2021</w:t>
      </w:r>
      <w:r w:rsidR="00276F6F">
        <w:rPr>
          <w:color w:val="000000"/>
          <w:sz w:val="28"/>
          <w:szCs w:val="28"/>
        </w:rPr>
        <w:t>” của Chính phủ</w:t>
      </w:r>
      <w:r>
        <w:rPr>
          <w:color w:val="000000"/>
          <w:sz w:val="28"/>
          <w:szCs w:val="28"/>
          <w:lang w:val="vi-VN"/>
        </w:rPr>
        <w:t xml:space="preserve"> được bố trí trong dự toán chi ngân sách </w:t>
      </w:r>
      <w:r>
        <w:rPr>
          <w:sz w:val="28"/>
          <w:szCs w:val="28"/>
          <w:lang w:val="vi-VN"/>
        </w:rPr>
        <w:t>cấp tỉnh</w:t>
      </w:r>
      <w:r>
        <w:rPr>
          <w:color w:val="000000"/>
          <w:sz w:val="28"/>
          <w:szCs w:val="28"/>
          <w:lang w:val="vi-VN"/>
        </w:rPr>
        <w:t xml:space="preserve"> năm 2024</w:t>
      </w:r>
      <w:r>
        <w:rPr>
          <w:sz w:val="28"/>
          <w:szCs w:val="28"/>
          <w:lang w:val="vi-VN"/>
        </w:rPr>
        <w:t xml:space="preserve"> </w:t>
      </w:r>
      <w:r>
        <w:rPr>
          <w:bCs/>
          <w:spacing w:val="-6"/>
          <w:sz w:val="28"/>
          <w:szCs w:val="28"/>
          <w:lang w:val="vi-VN"/>
        </w:rPr>
        <w:t xml:space="preserve">(tại mục 47 Phụ lục số 04 ban hành kèm theo Quyết định số </w:t>
      </w:r>
      <w:r>
        <w:rPr>
          <w:sz w:val="28"/>
          <w:szCs w:val="28"/>
          <w:lang w:val="vi-VN"/>
        </w:rPr>
        <w:t xml:space="preserve">3355/QĐ-UBND ngày 18/12/2023 của UBND tỉnh) </w:t>
      </w:r>
      <w:r>
        <w:rPr>
          <w:color w:val="000000"/>
          <w:sz w:val="28"/>
          <w:szCs w:val="28"/>
          <w:lang w:val="vi-VN"/>
        </w:rPr>
        <w:t xml:space="preserve">để </w:t>
      </w:r>
      <w:r>
        <w:rPr>
          <w:color w:val="000000"/>
          <w:sz w:val="28"/>
          <w:szCs w:val="28"/>
        </w:rPr>
        <w:t>thực hiện chính sách</w:t>
      </w:r>
      <w:r>
        <w:rPr>
          <w:color w:val="000000"/>
          <w:sz w:val="28"/>
          <w:szCs w:val="28"/>
          <w:lang w:val="vi-VN"/>
        </w:rPr>
        <w:t xml:space="preserve"> theo quy định tại </w:t>
      </w:r>
      <w:r>
        <w:rPr>
          <w:bCs/>
          <w:sz w:val="28"/>
          <w:szCs w:val="28"/>
          <w:lang w:val="vi-VN"/>
        </w:rPr>
        <w:t>Nghị định</w:t>
      </w:r>
      <w:r w:rsidR="004D6DDA">
        <w:rPr>
          <w:bCs/>
          <w:sz w:val="28"/>
          <w:szCs w:val="28"/>
        </w:rPr>
        <w:t xml:space="preserve"> số</w:t>
      </w:r>
      <w:r>
        <w:rPr>
          <w:bCs/>
          <w:sz w:val="28"/>
          <w:szCs w:val="28"/>
          <w:lang w:val="vi-VN"/>
        </w:rPr>
        <w:t xml:space="preserve"> 81/2021/NĐ-CP</w:t>
      </w:r>
      <w:r w:rsidR="004D6DDA">
        <w:rPr>
          <w:bCs/>
          <w:sz w:val="28"/>
          <w:szCs w:val="28"/>
        </w:rPr>
        <w:t xml:space="preserve"> của Chính phủ</w:t>
      </w:r>
      <w:r>
        <w:rPr>
          <w:bCs/>
          <w:sz w:val="28"/>
          <w:szCs w:val="28"/>
        </w:rPr>
        <w:t>:</w:t>
      </w:r>
    </w:p>
    <w:p w:rsidR="006826E0" w:rsidRDefault="006826E0" w:rsidP="00276F6F">
      <w:pPr>
        <w:spacing w:before="60" w:after="0" w:line="240" w:lineRule="auto"/>
        <w:ind w:firstLine="720"/>
        <w:jc w:val="both"/>
        <w:rPr>
          <w:bCs/>
          <w:sz w:val="28"/>
          <w:szCs w:val="28"/>
          <w:lang w:val="vi-VN"/>
        </w:rPr>
      </w:pPr>
      <w:r>
        <w:rPr>
          <w:bCs/>
          <w:sz w:val="28"/>
          <w:szCs w:val="28"/>
          <w:lang w:val="vi-VN"/>
        </w:rPr>
        <w:t>- Chính sách hỗ trợ chi phí học tập: 496.700.000 đồng;</w:t>
      </w:r>
    </w:p>
    <w:p w:rsidR="006826E0" w:rsidRDefault="006826E0" w:rsidP="00276F6F">
      <w:pPr>
        <w:spacing w:before="60" w:after="0" w:line="240" w:lineRule="auto"/>
        <w:ind w:firstLine="720"/>
        <w:jc w:val="both"/>
        <w:rPr>
          <w:bCs/>
          <w:sz w:val="28"/>
          <w:szCs w:val="28"/>
          <w:lang w:val="vi-VN"/>
        </w:rPr>
      </w:pPr>
      <w:r>
        <w:rPr>
          <w:bCs/>
          <w:sz w:val="28"/>
          <w:szCs w:val="28"/>
          <w:lang w:val="vi-VN"/>
        </w:rPr>
        <w:t xml:space="preserve">- Chính sách </w:t>
      </w:r>
      <w:r w:rsidR="00CF538C">
        <w:rPr>
          <w:bCs/>
          <w:sz w:val="28"/>
          <w:szCs w:val="28"/>
          <w:lang w:val="vi-VN"/>
        </w:rPr>
        <w:t xml:space="preserve">miễn, </w:t>
      </w:r>
      <w:r>
        <w:rPr>
          <w:bCs/>
          <w:sz w:val="28"/>
          <w:szCs w:val="28"/>
          <w:lang w:val="vi-VN"/>
        </w:rPr>
        <w:t>giảm học phí: 465.670.000 đồng.</w:t>
      </w:r>
    </w:p>
    <w:p w:rsidR="006826E0" w:rsidRDefault="006826E0" w:rsidP="00276F6F">
      <w:pPr>
        <w:spacing w:before="60" w:after="0" w:line="240" w:lineRule="auto"/>
        <w:ind w:firstLine="720"/>
        <w:jc w:val="both"/>
        <w:rPr>
          <w:color w:val="000000"/>
          <w:sz w:val="28"/>
          <w:szCs w:val="28"/>
          <w:lang w:val="vi-VN"/>
        </w:rPr>
      </w:pPr>
      <w:r>
        <w:rPr>
          <w:sz w:val="28"/>
          <w:szCs w:val="28"/>
          <w:lang w:val="vi-VN"/>
        </w:rPr>
        <w:t>c) Trích 861.024.000 đồng t</w:t>
      </w:r>
      <w:r>
        <w:rPr>
          <w:color w:val="000000"/>
          <w:sz w:val="28"/>
          <w:szCs w:val="28"/>
          <w:lang w:val="vi-VN"/>
        </w:rPr>
        <w:t xml:space="preserve">ừ nguồn “Dự kiến bổ sung hệ số lương định kỳ, đảm bảo tỷ lệ (%) chi hoạt động sự nghiệp giáo dục và các chế độ, chính sách giáo dục đào tạo, dạy nghề khác theo quy định” được bố trí trong dự toán chi ngân sách </w:t>
      </w:r>
      <w:r>
        <w:rPr>
          <w:sz w:val="28"/>
          <w:szCs w:val="28"/>
          <w:lang w:val="vi-VN"/>
        </w:rPr>
        <w:t>cấp tỉnh</w:t>
      </w:r>
      <w:r>
        <w:rPr>
          <w:color w:val="000000"/>
          <w:sz w:val="28"/>
          <w:szCs w:val="28"/>
          <w:lang w:val="vi-VN"/>
        </w:rPr>
        <w:t xml:space="preserve"> năm 2024</w:t>
      </w:r>
      <w:r>
        <w:rPr>
          <w:sz w:val="28"/>
          <w:szCs w:val="28"/>
          <w:lang w:val="vi-VN"/>
        </w:rPr>
        <w:t xml:space="preserve"> </w:t>
      </w:r>
      <w:r>
        <w:rPr>
          <w:bCs/>
          <w:spacing w:val="-6"/>
          <w:sz w:val="28"/>
          <w:szCs w:val="28"/>
          <w:lang w:val="vi-VN"/>
        </w:rPr>
        <w:t xml:space="preserve">(tại khoản 2 Mục II Phụ lục số 02 ban hành kèm theo Quyết định số </w:t>
      </w:r>
      <w:r>
        <w:rPr>
          <w:sz w:val="28"/>
          <w:szCs w:val="28"/>
          <w:lang w:val="vi-VN"/>
        </w:rPr>
        <w:t xml:space="preserve">3355/QĐ-UBND ngày 18/12/2023 của UBND tỉnh) </w:t>
      </w:r>
      <w:r>
        <w:rPr>
          <w:color w:val="000000"/>
          <w:sz w:val="28"/>
          <w:szCs w:val="28"/>
          <w:lang w:val="vi-VN"/>
        </w:rPr>
        <w:t>để chi trả các chế độ, chính sách cho giáo viên và học sinh:</w:t>
      </w:r>
    </w:p>
    <w:p w:rsidR="006826E0" w:rsidRDefault="006826E0" w:rsidP="00276F6F">
      <w:pPr>
        <w:spacing w:before="60" w:after="0" w:line="240" w:lineRule="auto"/>
        <w:ind w:firstLine="720"/>
        <w:jc w:val="both"/>
        <w:rPr>
          <w:bCs/>
          <w:sz w:val="28"/>
          <w:szCs w:val="28"/>
          <w:lang w:val="vi-VN"/>
        </w:rPr>
      </w:pPr>
      <w:r>
        <w:rPr>
          <w:bCs/>
          <w:sz w:val="28"/>
          <w:szCs w:val="28"/>
          <w:lang w:val="vi-VN"/>
        </w:rPr>
        <w:t>- Chính sách học bổng cho người khuyết tật (quy định tại Thông tư liên tịch số 42/2013/TTLT-BGDĐTBLĐTBXH-BTC): 464.256.000 đồng;</w:t>
      </w:r>
    </w:p>
    <w:p w:rsidR="006826E0" w:rsidRDefault="006826E0" w:rsidP="00276F6F">
      <w:pPr>
        <w:spacing w:before="60" w:after="0" w:line="240" w:lineRule="auto"/>
        <w:ind w:firstLine="720"/>
        <w:jc w:val="both"/>
        <w:rPr>
          <w:bCs/>
          <w:sz w:val="28"/>
          <w:szCs w:val="28"/>
          <w:lang w:val="vi-VN"/>
        </w:rPr>
      </w:pPr>
      <w:r>
        <w:rPr>
          <w:bCs/>
          <w:sz w:val="28"/>
          <w:szCs w:val="28"/>
          <w:lang w:val="vi-VN"/>
        </w:rPr>
        <w:t>- Chính sách ưu đãi đối với nhà giáo, cán bộ quản lý giáo dục, nhân viên hỗ trợ giáo dục người khuyết tật (quy định tại Nghị định số 28/2012/NĐ-CP): 210.749.000 đồng;</w:t>
      </w:r>
    </w:p>
    <w:p w:rsidR="006826E0" w:rsidRDefault="006826E0" w:rsidP="00276F6F">
      <w:pPr>
        <w:spacing w:before="60" w:after="0" w:line="240" w:lineRule="auto"/>
        <w:ind w:firstLine="720"/>
        <w:jc w:val="both"/>
        <w:rPr>
          <w:i/>
          <w:sz w:val="28"/>
          <w:szCs w:val="28"/>
        </w:rPr>
      </w:pPr>
      <w:r>
        <w:rPr>
          <w:bCs/>
          <w:sz w:val="28"/>
          <w:szCs w:val="28"/>
          <w:lang w:val="vi-VN"/>
        </w:rPr>
        <w:t>- Phụ cấp thu hút giáo viên trường Chuyên năm 2024 (quy định tại Nghị định số 140/2017/NĐ-CP): 186.019.000 đồng</w:t>
      </w:r>
      <w:r>
        <w:rPr>
          <w:i/>
          <w:sz w:val="28"/>
          <w:szCs w:val="28"/>
          <w:lang w:val="vi-VN"/>
        </w:rPr>
        <w:t>.</w:t>
      </w:r>
    </w:p>
    <w:p w:rsidR="0078367D" w:rsidRDefault="00646563" w:rsidP="00646563">
      <w:pPr>
        <w:spacing w:before="60" w:after="0" w:line="240" w:lineRule="auto"/>
        <w:jc w:val="both"/>
        <w:rPr>
          <w:rFonts w:eastAsia="Times New Roman" w:cs="Times New Roman"/>
          <w:sz w:val="28"/>
          <w:szCs w:val="28"/>
        </w:rPr>
      </w:pPr>
      <w:r>
        <w:rPr>
          <w:rFonts w:eastAsia="Times New Roman" w:cs="Times New Roman"/>
          <w:b/>
          <w:sz w:val="28"/>
          <w:szCs w:val="28"/>
        </w:rPr>
        <w:t xml:space="preserve">        </w:t>
      </w:r>
      <w:r w:rsidR="0078367D">
        <w:rPr>
          <w:rFonts w:eastAsia="Times New Roman" w:cs="Times New Roman"/>
          <w:b/>
          <w:sz w:val="28"/>
          <w:szCs w:val="28"/>
        </w:rPr>
        <w:t xml:space="preserve">Điều 2. </w:t>
      </w:r>
      <w:r w:rsidR="0078367D">
        <w:rPr>
          <w:rFonts w:eastAsia="Times New Roman" w:cs="Times New Roman"/>
          <w:sz w:val="28"/>
          <w:szCs w:val="28"/>
        </w:rPr>
        <w:t>Giao trách nhiệm thực hiện:</w:t>
      </w:r>
    </w:p>
    <w:p w:rsidR="0078367D" w:rsidRDefault="0078367D" w:rsidP="0078367D">
      <w:pPr>
        <w:spacing w:before="60" w:after="0" w:line="240" w:lineRule="auto"/>
        <w:ind w:firstLine="720"/>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bCs/>
          <w:sz w:val="28"/>
          <w:szCs w:val="28"/>
        </w:rPr>
        <w:t>Sở Tài chính, Kho bạc Nhà nước tỉnh và các cơ quan liên quan t</w:t>
      </w:r>
      <w:r>
        <w:rPr>
          <w:rFonts w:eastAsia="Times New Roman" w:cs="Times New Roman"/>
          <w:bCs/>
          <w:sz w:val="28"/>
          <w:szCs w:val="28"/>
          <w:lang w:val="vi-VN"/>
        </w:rPr>
        <w:t xml:space="preserve">hực hiện </w:t>
      </w:r>
      <w:r>
        <w:rPr>
          <w:rFonts w:eastAsia="Times New Roman" w:cs="Times New Roman"/>
          <w:sz w:val="28"/>
          <w:szCs w:val="28"/>
        </w:rPr>
        <w:t>giải ngân nguồn kinh phí kịp thời, đúng quy định.</w:t>
      </w:r>
    </w:p>
    <w:p w:rsidR="0078367D" w:rsidRPr="0078367D" w:rsidRDefault="0078367D" w:rsidP="0078367D">
      <w:pPr>
        <w:spacing w:before="60" w:after="0" w:line="240" w:lineRule="auto"/>
        <w:ind w:firstLine="720"/>
        <w:jc w:val="both"/>
        <w:rPr>
          <w:sz w:val="28"/>
          <w:szCs w:val="28"/>
          <w:lang w:val="nl-NL"/>
        </w:rPr>
      </w:pPr>
      <w:r>
        <w:rPr>
          <w:sz w:val="28"/>
          <w:szCs w:val="28"/>
          <w:lang w:val="nl-NL"/>
        </w:rPr>
        <w:t xml:space="preserve">- </w:t>
      </w:r>
      <w:r>
        <w:rPr>
          <w:rFonts w:eastAsia="Times New Roman" w:cs="Times New Roman"/>
          <w:sz w:val="28"/>
          <w:szCs w:val="28"/>
        </w:rPr>
        <w:t>Sở Giáo dục và Đào tạo</w:t>
      </w:r>
      <w:r>
        <w:rPr>
          <w:rFonts w:eastAsia="Times New Roman" w:cs="Times New Roman"/>
          <w:i/>
          <w:sz w:val="28"/>
          <w:szCs w:val="28"/>
        </w:rPr>
        <w:t xml:space="preserve"> </w:t>
      </w:r>
      <w:r>
        <w:rPr>
          <w:sz w:val="28"/>
          <w:szCs w:val="28"/>
          <w:lang w:val="nl-NL"/>
        </w:rPr>
        <w:t>chịu trách nhiệm quản lý, sử dụng nguồn kinh phí đúng mục đích, đúng chế độ và thanh quyết toán theo quy định hiện hành.</w:t>
      </w:r>
    </w:p>
    <w:p w:rsidR="0078367D" w:rsidRPr="0078367D" w:rsidRDefault="0078367D" w:rsidP="00646563">
      <w:pPr>
        <w:spacing w:after="60"/>
        <w:ind w:firstLine="500"/>
        <w:jc w:val="both"/>
        <w:rPr>
          <w:b/>
          <w:bCs/>
          <w:iCs/>
          <w:sz w:val="28"/>
          <w:szCs w:val="28"/>
        </w:rPr>
      </w:pPr>
      <w:r w:rsidRPr="0078367D">
        <w:rPr>
          <w:b/>
          <w:noProof/>
          <w:sz w:val="28"/>
          <w:szCs w:val="28"/>
          <w:lang w:val="sv-SE"/>
        </w:rPr>
        <w:t>Điều 3.</w:t>
      </w:r>
      <w:r w:rsidRPr="0078367D">
        <w:rPr>
          <w:sz w:val="28"/>
          <w:szCs w:val="28"/>
        </w:rPr>
        <w:t xml:space="preserve"> Sở </w:t>
      </w:r>
      <w:r>
        <w:rPr>
          <w:sz w:val="28"/>
          <w:szCs w:val="28"/>
        </w:rPr>
        <w:t>Giáo dục và Đào tạo</w:t>
      </w:r>
      <w:r w:rsidRPr="0078367D">
        <w:rPr>
          <w:noProof/>
          <w:sz w:val="28"/>
          <w:szCs w:val="28"/>
          <w:lang w:val="sv-SE"/>
        </w:rPr>
        <w:t xml:space="preserve"> </w:t>
      </w:r>
      <w:r w:rsidRPr="0078367D">
        <w:rPr>
          <w:sz w:val="28"/>
          <w:szCs w:val="28"/>
        </w:rPr>
        <w:t>(đơn vị đề nghị), Sở Tài chính (cơ quan thẩm định, tham mưu) chịu hoàn toàn trách nhiệm trước pháp luật, UBND tỉnh, Chủ tịch UBND tỉnh và các cơ quan thanh tra, kiểm tra về tính chính xác của thông tin, số liệu, kinh phí cấp</w:t>
      </w:r>
      <w:r w:rsidRPr="0078367D">
        <w:rPr>
          <w:spacing w:val="-2"/>
          <w:sz w:val="28"/>
          <w:szCs w:val="28"/>
        </w:rPr>
        <w:t xml:space="preserve">, sự phù hợp với quy định của Luật </w:t>
      </w:r>
      <w:r w:rsidR="00CF538C">
        <w:rPr>
          <w:spacing w:val="-2"/>
          <w:sz w:val="28"/>
          <w:szCs w:val="28"/>
          <w:lang w:val="vi-VN"/>
        </w:rPr>
        <w:t>N</w:t>
      </w:r>
      <w:r w:rsidRPr="0078367D">
        <w:rPr>
          <w:spacing w:val="-2"/>
          <w:sz w:val="28"/>
          <w:szCs w:val="28"/>
        </w:rPr>
        <w:t>gân sách Nhà nước và các quy định của pháp luật có liên quan</w:t>
      </w:r>
      <w:r w:rsidRPr="0078367D">
        <w:rPr>
          <w:sz w:val="28"/>
          <w:szCs w:val="28"/>
        </w:rPr>
        <w:t>.</w:t>
      </w:r>
    </w:p>
    <w:p w:rsidR="0078367D" w:rsidRPr="0078367D" w:rsidRDefault="0078367D" w:rsidP="0078367D">
      <w:pPr>
        <w:spacing w:after="60"/>
        <w:ind w:firstLine="500"/>
        <w:jc w:val="both"/>
        <w:rPr>
          <w:b/>
          <w:bCs/>
          <w:iCs/>
          <w:sz w:val="28"/>
          <w:szCs w:val="28"/>
        </w:rPr>
      </w:pPr>
      <w:r w:rsidRPr="0078367D">
        <w:rPr>
          <w:b/>
          <w:sz w:val="28"/>
          <w:szCs w:val="28"/>
        </w:rPr>
        <w:t>Điều 4.</w:t>
      </w:r>
      <w:r w:rsidRPr="0078367D">
        <w:rPr>
          <w:sz w:val="28"/>
          <w:szCs w:val="28"/>
        </w:rPr>
        <w:t xml:space="preserve"> Quyết định này có hiệu lực kể từ ngày ban hành;</w:t>
      </w:r>
    </w:p>
    <w:p w:rsidR="0078367D" w:rsidRPr="0078367D" w:rsidRDefault="0078367D" w:rsidP="0078367D">
      <w:pPr>
        <w:spacing w:after="60"/>
        <w:ind w:firstLine="500"/>
        <w:jc w:val="both"/>
        <w:rPr>
          <w:sz w:val="28"/>
          <w:szCs w:val="28"/>
        </w:rPr>
      </w:pPr>
      <w:r w:rsidRPr="0078367D">
        <w:rPr>
          <w:spacing w:val="-4"/>
          <w:sz w:val="28"/>
          <w:szCs w:val="28"/>
        </w:rPr>
        <w:t>Chánh Văn phòng Ủy ban nhân dân tỉnh</w:t>
      </w:r>
      <w:r w:rsidRPr="0078367D">
        <w:rPr>
          <w:sz w:val="28"/>
          <w:szCs w:val="28"/>
        </w:rPr>
        <w:t xml:space="preserve">; Giám đốc: </w:t>
      </w:r>
      <w:r w:rsidR="007D0DA4">
        <w:rPr>
          <w:spacing w:val="-2"/>
          <w:sz w:val="28"/>
          <w:szCs w:val="28"/>
        </w:rPr>
        <w:t>Sở Giáo dục và Đào tạo</w:t>
      </w:r>
      <w:r w:rsidR="007D0DA4">
        <w:rPr>
          <w:spacing w:val="-2"/>
          <w:sz w:val="28"/>
          <w:szCs w:val="28"/>
          <w:lang w:val="vi-VN"/>
        </w:rPr>
        <w:t>,</w:t>
      </w:r>
      <w:r w:rsidR="007D0DA4">
        <w:rPr>
          <w:sz w:val="28"/>
          <w:szCs w:val="28"/>
        </w:rPr>
        <w:t xml:space="preserve"> </w:t>
      </w:r>
      <w:r w:rsidR="00CF538C">
        <w:rPr>
          <w:sz w:val="28"/>
          <w:szCs w:val="28"/>
        </w:rPr>
        <w:t>Sở</w:t>
      </w:r>
      <w:r w:rsidR="00CF538C">
        <w:rPr>
          <w:sz w:val="28"/>
          <w:szCs w:val="28"/>
          <w:lang w:val="vi-VN"/>
        </w:rPr>
        <w:t xml:space="preserve"> </w:t>
      </w:r>
      <w:r w:rsidRPr="0078367D">
        <w:rPr>
          <w:sz w:val="28"/>
          <w:szCs w:val="28"/>
        </w:rPr>
        <w:t xml:space="preserve">Tài chính, </w:t>
      </w:r>
      <w:bookmarkStart w:id="0" w:name="_GoBack"/>
      <w:bookmarkEnd w:id="0"/>
      <w:r w:rsidRPr="0078367D">
        <w:rPr>
          <w:sz w:val="28"/>
          <w:szCs w:val="28"/>
        </w:rPr>
        <w:t>Kho bạc Nhà nước tỉnh và Thủ trưởng các cơ quan liên quan chịu trách nhiệm thi hành Quyết định này./.</w:t>
      </w:r>
    </w:p>
    <w:p w:rsidR="0078367D" w:rsidRPr="007E3E49" w:rsidRDefault="0078367D" w:rsidP="0078367D">
      <w:pPr>
        <w:spacing w:line="264" w:lineRule="auto"/>
        <w:rPr>
          <w:b/>
          <w:bCs/>
          <w:iCs/>
          <w:sz w:val="6"/>
        </w:rPr>
      </w:pPr>
    </w:p>
    <w:tbl>
      <w:tblPr>
        <w:tblW w:w="0" w:type="auto"/>
        <w:tblLook w:val="01E0" w:firstRow="1" w:lastRow="1" w:firstColumn="1" w:lastColumn="1" w:noHBand="0" w:noVBand="0"/>
      </w:tblPr>
      <w:tblGrid>
        <w:gridCol w:w="4751"/>
        <w:gridCol w:w="4539"/>
      </w:tblGrid>
      <w:tr w:rsidR="0078367D" w:rsidRPr="007E3E49" w:rsidTr="0078367D">
        <w:trPr>
          <w:trHeight w:val="2924"/>
        </w:trPr>
        <w:tc>
          <w:tcPr>
            <w:tcW w:w="4768" w:type="dxa"/>
          </w:tcPr>
          <w:p w:rsidR="0078367D" w:rsidRPr="0078367D" w:rsidRDefault="0078367D" w:rsidP="0078367D">
            <w:pPr>
              <w:spacing w:after="0" w:line="257" w:lineRule="auto"/>
              <w:jc w:val="both"/>
              <w:rPr>
                <w:bCs/>
                <w:i/>
                <w:iCs/>
                <w:sz w:val="26"/>
                <w:szCs w:val="24"/>
              </w:rPr>
            </w:pPr>
            <w:r w:rsidRPr="0078367D">
              <w:rPr>
                <w:i/>
                <w:sz w:val="26"/>
                <w:szCs w:val="24"/>
              </w:rPr>
              <w:t>Nơi nhận:</w:t>
            </w:r>
          </w:p>
          <w:p w:rsidR="0078367D" w:rsidRPr="0078367D" w:rsidRDefault="0078367D" w:rsidP="0078367D">
            <w:pPr>
              <w:spacing w:after="0" w:line="257" w:lineRule="auto"/>
              <w:jc w:val="both"/>
              <w:rPr>
                <w:b/>
                <w:bCs/>
                <w:iCs/>
              </w:rPr>
            </w:pPr>
            <w:r w:rsidRPr="0078367D">
              <w:t>- Như Điều 4;</w:t>
            </w:r>
          </w:p>
          <w:p w:rsidR="0078367D" w:rsidRPr="0078367D" w:rsidRDefault="0078367D" w:rsidP="0078367D">
            <w:pPr>
              <w:spacing w:after="0" w:line="257" w:lineRule="auto"/>
              <w:jc w:val="both"/>
              <w:rPr>
                <w:b/>
                <w:bCs/>
                <w:iCs/>
              </w:rPr>
            </w:pPr>
            <w:r w:rsidRPr="0078367D">
              <w:t>- Chủ tịch, các PCT UBND tỉnh;</w:t>
            </w:r>
          </w:p>
          <w:p w:rsidR="0078367D" w:rsidRPr="0078367D" w:rsidRDefault="0078367D" w:rsidP="0078367D">
            <w:pPr>
              <w:spacing w:after="0" w:line="257" w:lineRule="auto"/>
              <w:jc w:val="both"/>
              <w:rPr>
                <w:b/>
                <w:bCs/>
                <w:iCs/>
              </w:rPr>
            </w:pPr>
            <w:r w:rsidRPr="0078367D">
              <w:t>- PCVP Trần Tuấn Nghĩa;</w:t>
            </w:r>
          </w:p>
          <w:p w:rsidR="0078367D" w:rsidRPr="0078367D" w:rsidRDefault="0078367D" w:rsidP="0078367D">
            <w:pPr>
              <w:spacing w:after="0" w:line="257" w:lineRule="auto"/>
              <w:jc w:val="both"/>
              <w:rPr>
                <w:b/>
                <w:bCs/>
                <w:iCs/>
              </w:rPr>
            </w:pPr>
            <w:r w:rsidRPr="0078367D">
              <w:t>- Phòng Tổng hợp;</w:t>
            </w:r>
          </w:p>
          <w:p w:rsidR="0078367D" w:rsidRPr="0078367D" w:rsidRDefault="0078367D" w:rsidP="0078367D">
            <w:pPr>
              <w:spacing w:after="0" w:line="257" w:lineRule="auto"/>
              <w:jc w:val="both"/>
              <w:rPr>
                <w:b/>
                <w:bCs/>
                <w:iCs/>
              </w:rPr>
            </w:pPr>
            <w:r w:rsidRPr="0078367D">
              <w:t>- Trung tâm CB-TH;</w:t>
            </w:r>
          </w:p>
          <w:p w:rsidR="0078367D" w:rsidRPr="007E3E49" w:rsidRDefault="0078367D" w:rsidP="0078367D">
            <w:pPr>
              <w:spacing w:after="0" w:line="257" w:lineRule="auto"/>
              <w:jc w:val="both"/>
              <w:rPr>
                <w:b/>
                <w:bCs/>
                <w:iCs/>
                <w:sz w:val="22"/>
              </w:rPr>
            </w:pPr>
            <w:r w:rsidRPr="0078367D">
              <w:t>- Lưu: VT, VX.</w:t>
            </w:r>
          </w:p>
        </w:tc>
        <w:tc>
          <w:tcPr>
            <w:tcW w:w="4554" w:type="dxa"/>
          </w:tcPr>
          <w:p w:rsidR="0078367D" w:rsidRPr="0078367D" w:rsidRDefault="0078367D" w:rsidP="0078367D">
            <w:pPr>
              <w:spacing w:after="0" w:line="240" w:lineRule="auto"/>
              <w:jc w:val="center"/>
              <w:rPr>
                <w:b/>
                <w:bCs/>
                <w:iCs/>
                <w:sz w:val="26"/>
              </w:rPr>
            </w:pPr>
            <w:r w:rsidRPr="0078367D">
              <w:rPr>
                <w:b/>
                <w:sz w:val="26"/>
              </w:rPr>
              <w:t>TM. ỦY BAN NHÂN DÂN</w:t>
            </w:r>
          </w:p>
          <w:p w:rsidR="0078367D" w:rsidRDefault="0078367D" w:rsidP="0078367D">
            <w:pPr>
              <w:spacing w:after="0" w:line="240" w:lineRule="auto"/>
              <w:jc w:val="center"/>
              <w:rPr>
                <w:b/>
                <w:sz w:val="26"/>
              </w:rPr>
            </w:pPr>
            <w:r>
              <w:rPr>
                <w:b/>
                <w:sz w:val="26"/>
              </w:rPr>
              <w:t xml:space="preserve">KT. </w:t>
            </w:r>
            <w:r w:rsidRPr="0078367D">
              <w:rPr>
                <w:b/>
                <w:sz w:val="26"/>
              </w:rPr>
              <w:t>CHỦ TỊCH</w:t>
            </w:r>
          </w:p>
          <w:p w:rsidR="0078367D" w:rsidRPr="0078367D" w:rsidRDefault="0078367D" w:rsidP="0078367D">
            <w:pPr>
              <w:spacing w:after="0" w:line="240" w:lineRule="auto"/>
              <w:jc w:val="center"/>
              <w:rPr>
                <w:b/>
                <w:bCs/>
                <w:iCs/>
                <w:sz w:val="26"/>
              </w:rPr>
            </w:pPr>
            <w:r>
              <w:rPr>
                <w:b/>
                <w:sz w:val="26"/>
              </w:rPr>
              <w:t>PHÓ CHỦ TỊCH</w:t>
            </w:r>
          </w:p>
          <w:p w:rsidR="0078367D" w:rsidRPr="007E3E49" w:rsidRDefault="0078367D" w:rsidP="00F23419">
            <w:pPr>
              <w:jc w:val="center"/>
              <w:rPr>
                <w:bCs/>
                <w:iCs/>
                <w:sz w:val="26"/>
                <w:szCs w:val="26"/>
              </w:rPr>
            </w:pPr>
          </w:p>
          <w:p w:rsidR="0078367D" w:rsidRPr="007E3E49" w:rsidRDefault="0078367D" w:rsidP="00F23419">
            <w:pPr>
              <w:jc w:val="center"/>
              <w:rPr>
                <w:bCs/>
                <w:iCs/>
                <w:sz w:val="26"/>
                <w:szCs w:val="26"/>
              </w:rPr>
            </w:pPr>
          </w:p>
          <w:p w:rsidR="0078367D" w:rsidRPr="0078367D" w:rsidRDefault="0078367D" w:rsidP="00F23419">
            <w:pPr>
              <w:jc w:val="center"/>
              <w:rPr>
                <w:bCs/>
                <w:iCs/>
                <w:sz w:val="12"/>
                <w:szCs w:val="26"/>
              </w:rPr>
            </w:pPr>
          </w:p>
          <w:p w:rsidR="0078367D" w:rsidRPr="007E3E49" w:rsidRDefault="0078367D" w:rsidP="00F23419">
            <w:pPr>
              <w:jc w:val="center"/>
              <w:rPr>
                <w:bCs/>
                <w:iCs/>
                <w:sz w:val="26"/>
                <w:szCs w:val="26"/>
              </w:rPr>
            </w:pPr>
          </w:p>
          <w:p w:rsidR="0078367D" w:rsidRPr="007E3E49" w:rsidRDefault="0078367D" w:rsidP="00F23419">
            <w:pPr>
              <w:jc w:val="center"/>
              <w:rPr>
                <w:b/>
                <w:bCs/>
                <w:iCs/>
              </w:rPr>
            </w:pPr>
            <w:r>
              <w:rPr>
                <w:b/>
                <w:sz w:val="28"/>
              </w:rPr>
              <w:t>Lê Ngọc Châu</w:t>
            </w:r>
          </w:p>
        </w:tc>
      </w:tr>
    </w:tbl>
    <w:p w:rsidR="0078367D" w:rsidRPr="007E3E49" w:rsidRDefault="0078367D" w:rsidP="0078367D">
      <w:pPr>
        <w:widowControl w:val="0"/>
        <w:spacing w:line="264" w:lineRule="auto"/>
        <w:ind w:firstLine="720"/>
        <w:jc w:val="both"/>
      </w:pPr>
    </w:p>
    <w:p w:rsidR="0078367D" w:rsidRDefault="0078367D" w:rsidP="0078367D">
      <w:pPr>
        <w:spacing w:before="60" w:after="60"/>
        <w:ind w:firstLine="500"/>
        <w:jc w:val="both"/>
      </w:pPr>
    </w:p>
    <w:p w:rsidR="004D6DDA" w:rsidRDefault="004D6DDA" w:rsidP="00276F6F">
      <w:pPr>
        <w:spacing w:before="60" w:after="0" w:line="240" w:lineRule="auto"/>
        <w:ind w:firstLine="720"/>
        <w:jc w:val="both"/>
        <w:rPr>
          <w:i/>
          <w:sz w:val="28"/>
          <w:szCs w:val="28"/>
        </w:rPr>
      </w:pPr>
    </w:p>
    <w:p w:rsidR="004D6DDA" w:rsidRPr="004D6DDA" w:rsidRDefault="004D6DDA" w:rsidP="00276F6F">
      <w:pPr>
        <w:spacing w:before="60" w:after="0" w:line="240" w:lineRule="auto"/>
        <w:ind w:firstLine="720"/>
        <w:jc w:val="both"/>
        <w:rPr>
          <w:i/>
          <w:sz w:val="28"/>
          <w:szCs w:val="28"/>
        </w:rPr>
      </w:pPr>
    </w:p>
    <w:p w:rsidR="00A74AE5" w:rsidRDefault="006826E0" w:rsidP="0034247C">
      <w:pPr>
        <w:spacing w:before="60" w:after="0" w:line="240" w:lineRule="auto"/>
        <w:ind w:firstLine="539"/>
        <w:jc w:val="both"/>
      </w:pPr>
      <w:r>
        <w:rPr>
          <w:rFonts w:eastAsia="Times New Roman" w:cs="Times New Roman"/>
          <w:b/>
          <w:sz w:val="28"/>
          <w:szCs w:val="28"/>
        </w:rPr>
        <w:t xml:space="preserve"> </w:t>
      </w:r>
    </w:p>
    <w:sectPr w:rsidR="00A74AE5" w:rsidSect="0078367D">
      <w:pgSz w:w="11909" w:h="16834" w:code="9"/>
      <w:pgMar w:top="851"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E0"/>
    <w:rsid w:val="000336DE"/>
    <w:rsid w:val="0003486F"/>
    <w:rsid w:val="00276F6F"/>
    <w:rsid w:val="0034247C"/>
    <w:rsid w:val="003514F0"/>
    <w:rsid w:val="004D6DDA"/>
    <w:rsid w:val="00646563"/>
    <w:rsid w:val="006826E0"/>
    <w:rsid w:val="0078367D"/>
    <w:rsid w:val="007D0DA4"/>
    <w:rsid w:val="00A74AE5"/>
    <w:rsid w:val="00CA6EC0"/>
    <w:rsid w:val="00CF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E0"/>
    <w:pPr>
      <w:spacing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E0"/>
    <w:pPr>
      <w:spacing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TTN</cp:lastModifiedBy>
  <cp:revision>2</cp:revision>
  <cp:lastPrinted>2024-12-17T09:38:00Z</cp:lastPrinted>
  <dcterms:created xsi:type="dcterms:W3CDTF">2024-12-17T09:39:00Z</dcterms:created>
  <dcterms:modified xsi:type="dcterms:W3CDTF">2024-12-17T09:39:00Z</dcterms:modified>
</cp:coreProperties>
</file>