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tblCellSpacing w:w="0" w:type="dxa"/>
        <w:tblInd w:w="-318" w:type="dxa"/>
        <w:tblCellMar>
          <w:left w:w="0" w:type="dxa"/>
          <w:right w:w="0" w:type="dxa"/>
        </w:tblCellMar>
        <w:tblLook w:val="04A0" w:firstRow="1" w:lastRow="0" w:firstColumn="1" w:lastColumn="0" w:noHBand="0" w:noVBand="1"/>
      </w:tblPr>
      <w:tblGrid>
        <w:gridCol w:w="4254"/>
        <w:gridCol w:w="5859"/>
      </w:tblGrid>
      <w:tr>
        <w:trPr>
          <w:tblCellSpacing w:w="0" w:type="dxa"/>
        </w:trPr>
        <w:tc>
          <w:tcPr>
            <w:tcW w:w="4254" w:type="dxa"/>
            <w:tcMar>
              <w:top w:w="0" w:type="dxa"/>
              <w:left w:w="108" w:type="dxa"/>
              <w:bottom w:w="0" w:type="dxa"/>
              <w:right w:w="108" w:type="dxa"/>
            </w:tcMar>
            <w:hideMark/>
          </w:tcPr>
          <w:p>
            <w:pPr>
              <w:pStyle w:val="NormalWeb"/>
              <w:spacing w:before="0" w:beforeAutospacing="0" w:after="0" w:afterAutospacing="0"/>
              <w:jc w:val="center"/>
              <w:rPr>
                <w:szCs w:val="28"/>
              </w:rPr>
            </w:pPr>
            <w:r>
              <w:rPr>
                <w:szCs w:val="28"/>
              </w:rPr>
              <w:t>UBND TỈNH HÀ TĨNH</w:t>
            </w:r>
          </w:p>
          <w:p>
            <w:pPr>
              <w:pStyle w:val="NormalWeb"/>
              <w:spacing w:before="0" w:beforeAutospacing="0" w:after="0" w:afterAutospacing="0"/>
              <w:jc w:val="center"/>
              <w:rPr>
                <w:b/>
                <w:bCs/>
                <w:sz w:val="26"/>
                <w:szCs w:val="28"/>
              </w:rPr>
            </w:pPr>
            <w:r>
              <w:rPr>
                <w:b/>
                <w:bCs/>
                <w:sz w:val="26"/>
                <w:szCs w:val="28"/>
              </w:rPr>
              <w:t>VĂN PHÒNG</w:t>
            </w:r>
          </w:p>
        </w:tc>
        <w:tc>
          <w:tcPr>
            <w:tcW w:w="5859" w:type="dxa"/>
            <w:tcMar>
              <w:top w:w="0" w:type="dxa"/>
              <w:left w:w="108" w:type="dxa"/>
              <w:bottom w:w="0" w:type="dxa"/>
              <w:right w:w="108" w:type="dxa"/>
            </w:tcMar>
            <w:hideMark/>
          </w:tcPr>
          <w:p>
            <w:pPr>
              <w:pStyle w:val="NormalWeb"/>
              <w:spacing w:before="0" w:beforeAutospacing="0" w:after="0" w:afterAutospacing="0"/>
              <w:jc w:val="center"/>
              <w:rPr>
                <w:sz w:val="28"/>
                <w:szCs w:val="28"/>
                <w:lang w:val="vi-VN"/>
              </w:rPr>
            </w:pPr>
            <w:r>
              <w:rPr>
                <w:b/>
                <w:bCs/>
                <w:sz w:val="26"/>
                <w:szCs w:val="28"/>
                <w:lang w:val="vi-VN"/>
              </w:rPr>
              <w:t>CỘNG HÒA XÃ HỘI CHỦ NGHĨA VIỆT NAM</w:t>
            </w:r>
            <w:r>
              <w:rPr>
                <w:b/>
                <w:bCs/>
                <w:sz w:val="28"/>
                <w:szCs w:val="28"/>
                <w:lang w:val="vi-VN"/>
              </w:rPr>
              <w:br/>
              <w:t>Độc lập - Tự do - Hạnh phúc</w:t>
            </w:r>
            <w:r>
              <w:rPr>
                <w:rStyle w:val="apple-converted-space"/>
                <w:b/>
                <w:bCs/>
                <w:sz w:val="28"/>
                <w:szCs w:val="28"/>
                <w:lang w:val="vi-VN"/>
              </w:rPr>
              <w:t> </w:t>
            </w:r>
          </w:p>
        </w:tc>
      </w:tr>
      <w:tr>
        <w:trPr>
          <w:tblCellSpacing w:w="0" w:type="dxa"/>
        </w:trPr>
        <w:tc>
          <w:tcPr>
            <w:tcW w:w="4254" w:type="dxa"/>
            <w:tcMar>
              <w:top w:w="0" w:type="dxa"/>
              <w:left w:w="108" w:type="dxa"/>
              <w:bottom w:w="0" w:type="dxa"/>
              <w:right w:w="108" w:type="dxa"/>
            </w:tcMar>
            <w:hideMark/>
          </w:tcPr>
          <w:p>
            <w:pPr>
              <w:pStyle w:val="NormalWeb"/>
              <w:spacing w:before="0" w:beforeAutospacing="0" w:after="0" w:afterAutospacing="0"/>
              <w:jc w:val="center"/>
              <w:rPr>
                <w:sz w:val="26"/>
                <w:szCs w:val="26"/>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1045845</wp:posOffset>
                      </wp:positionH>
                      <wp:positionV relativeFrom="paragraph">
                        <wp:posOffset>15240</wp:posOffset>
                      </wp:positionV>
                      <wp:extent cx="547688"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B02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2pt" to="1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DgrgEAAEcDAAAOAAAAZHJzL2Uyb0RvYy54bWysUsFuGyEQvVfqPyDu9dpWna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"/>
                  </w:pict>
                </mc:Fallback>
              </mc:AlternateContent>
            </w:r>
          </w:p>
          <w:p>
            <w:pPr>
              <w:pStyle w:val="NormalWeb"/>
              <w:spacing w:before="0" w:beforeAutospacing="0" w:after="0" w:afterAutospacing="0"/>
              <w:jc w:val="center"/>
              <w:rPr>
                <w:sz w:val="26"/>
                <w:szCs w:val="26"/>
                <w:vertAlign w:val="subscript"/>
              </w:rPr>
            </w:pPr>
            <w:r>
              <w:rPr>
                <w:sz w:val="26"/>
                <w:szCs w:val="26"/>
                <w:lang w:val="vi-VN"/>
              </w:rPr>
              <w:t>Số:</w:t>
            </w:r>
            <w:r>
              <w:rPr>
                <w:rStyle w:val="apple-converted-space"/>
                <w:sz w:val="26"/>
                <w:szCs w:val="26"/>
                <w:lang w:val="vi-VN"/>
              </w:rPr>
              <w:t xml:space="preserve"> </w:t>
            </w:r>
            <w:r>
              <w:rPr>
                <w:rStyle w:val="apple-converted-space"/>
                <w:sz w:val="26"/>
                <w:szCs w:val="26"/>
              </w:rPr>
              <w:t xml:space="preserve">          </w:t>
            </w:r>
            <w:r>
              <w:rPr>
                <w:sz w:val="26"/>
                <w:szCs w:val="26"/>
                <w:lang w:val="vi-VN"/>
              </w:rPr>
              <w:t>/</w:t>
            </w:r>
            <w:r>
              <w:rPr>
                <w:sz w:val="26"/>
                <w:szCs w:val="26"/>
              </w:rPr>
              <w:t>VP-NL</w:t>
            </w:r>
            <w:r>
              <w:rPr>
                <w:sz w:val="26"/>
                <w:szCs w:val="26"/>
                <w:vertAlign w:val="subscript"/>
              </w:rPr>
              <w:t>3</w:t>
            </w:r>
          </w:p>
          <w:p>
            <w:pPr>
              <w:jc w:val="center"/>
            </w:pPr>
            <w:r>
              <w:t>V/v báo cáo kết quả thực hiện</w:t>
            </w:r>
          </w:p>
          <w:p>
            <w:pPr>
              <w:jc w:val="center"/>
            </w:pPr>
            <w:r>
              <w:t>Chương trình mục tiêu quốc gia phát</w:t>
            </w:r>
          </w:p>
          <w:p>
            <w:pPr>
              <w:jc w:val="center"/>
            </w:pPr>
            <w:r>
              <w:t>triển KT-XH vùng đồng bào</w:t>
            </w:r>
          </w:p>
          <w:p>
            <w:pPr>
              <w:jc w:val="center"/>
            </w:pPr>
            <w:r>
              <w:t>DTTS&amp;MN giai đoạn 2021-2025</w:t>
            </w:r>
          </w:p>
        </w:tc>
        <w:tc>
          <w:tcPr>
            <w:tcW w:w="5859" w:type="dxa"/>
            <w:tcMar>
              <w:top w:w="0" w:type="dxa"/>
              <w:left w:w="108" w:type="dxa"/>
              <w:bottom w:w="0" w:type="dxa"/>
              <w:right w:w="108" w:type="dxa"/>
            </w:tcMar>
            <w:hideMark/>
          </w:tcPr>
          <w:p>
            <w:pPr>
              <w:pStyle w:val="NormalWeb"/>
              <w:spacing w:before="0" w:beforeAutospacing="0" w:after="0" w:afterAutospacing="0"/>
              <w:rPr>
                <w:i/>
                <w:iCs/>
                <w:sz w:val="28"/>
                <w:szCs w:val="28"/>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724535</wp:posOffset>
                      </wp:positionH>
                      <wp:positionV relativeFrom="paragraph">
                        <wp:posOffset>22225</wp:posOffset>
                      </wp:positionV>
                      <wp:extent cx="2092960" cy="5080"/>
                      <wp:effectExtent l="0" t="0" r="2159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0C7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75pt" to="22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"/>
                  </w:pict>
                </mc:Fallback>
              </mc:AlternateContent>
            </w:r>
          </w:p>
          <w:p>
            <w:pPr>
              <w:pStyle w:val="NormalWeb"/>
              <w:spacing w:before="0" w:beforeAutospacing="0" w:after="0" w:afterAutospacing="0"/>
              <w:rPr>
                <w:i/>
                <w:iCs/>
                <w:sz w:val="28"/>
                <w:szCs w:val="28"/>
                <w:lang w:val="en-GB"/>
              </w:rPr>
            </w:pPr>
            <w:r>
              <w:rPr>
                <w:i/>
                <w:iCs/>
                <w:sz w:val="28"/>
                <w:szCs w:val="28"/>
                <w:lang w:val="vi-VN"/>
              </w:rPr>
              <w:t xml:space="preserve">            </w:t>
            </w:r>
            <w:r>
              <w:rPr>
                <w:i/>
                <w:iCs/>
                <w:sz w:val="28"/>
                <w:szCs w:val="28"/>
                <w:lang w:val="en-GB"/>
              </w:rPr>
              <w:t xml:space="preserve"> </w:t>
            </w:r>
            <w:r>
              <w:rPr>
                <w:i/>
                <w:iCs/>
                <w:sz w:val="28"/>
                <w:szCs w:val="28"/>
              </w:rPr>
              <w:t>Hà Tĩnh</w:t>
            </w:r>
            <w:r>
              <w:rPr>
                <w:i/>
                <w:iCs/>
                <w:sz w:val="28"/>
                <w:szCs w:val="28"/>
                <w:lang w:val="vi-VN"/>
              </w:rPr>
              <w:t>, ngày</w:t>
            </w:r>
            <w:r>
              <w:rPr>
                <w:rStyle w:val="apple-converted-space"/>
                <w:i/>
                <w:iCs/>
                <w:sz w:val="28"/>
                <w:szCs w:val="28"/>
                <w:lang w:val="vi-VN"/>
              </w:rPr>
              <w:t xml:space="preserve"> </w:t>
            </w:r>
            <w:r>
              <w:rPr>
                <w:rStyle w:val="apple-converted-space"/>
                <w:i/>
                <w:iCs/>
                <w:sz w:val="28"/>
                <w:szCs w:val="28"/>
              </w:rPr>
              <w:t xml:space="preserve">        </w:t>
            </w:r>
            <w:r>
              <w:rPr>
                <w:rStyle w:val="apple-converted-space"/>
                <w:i/>
                <w:iCs/>
                <w:sz w:val="28"/>
                <w:szCs w:val="28"/>
                <w:lang w:val="vi-VN"/>
              </w:rPr>
              <w:t> </w:t>
            </w:r>
            <w:r>
              <w:rPr>
                <w:i/>
                <w:iCs/>
                <w:sz w:val="28"/>
                <w:szCs w:val="28"/>
                <w:lang w:val="vi-VN"/>
              </w:rPr>
              <w:t>tháng</w:t>
            </w:r>
            <w:r>
              <w:rPr>
                <w:rStyle w:val="apple-converted-space"/>
                <w:i/>
                <w:iCs/>
                <w:sz w:val="28"/>
                <w:szCs w:val="28"/>
              </w:rPr>
              <w:t xml:space="preserve">    </w:t>
            </w:r>
            <w:r>
              <w:rPr>
                <w:i/>
                <w:iCs/>
                <w:sz w:val="28"/>
                <w:szCs w:val="28"/>
                <w:lang w:val="vi-VN"/>
              </w:rPr>
              <w:t>năm</w:t>
            </w:r>
            <w:r>
              <w:rPr>
                <w:rStyle w:val="apple-converted-space"/>
                <w:i/>
                <w:iCs/>
                <w:sz w:val="28"/>
                <w:szCs w:val="28"/>
                <w:lang w:val="vi-VN"/>
              </w:rPr>
              <w:t> </w:t>
            </w:r>
            <w:r>
              <w:rPr>
                <w:i/>
                <w:iCs/>
                <w:sz w:val="28"/>
                <w:szCs w:val="28"/>
                <w:lang w:val="vi-VN"/>
              </w:rPr>
              <w:t>202</w:t>
            </w:r>
            <w:r>
              <w:rPr>
                <w:i/>
                <w:iCs/>
                <w:sz w:val="28"/>
                <w:szCs w:val="28"/>
                <w:lang w:val="en-GB"/>
              </w:rPr>
              <w:t>5</w:t>
            </w:r>
          </w:p>
        </w:tc>
      </w:tr>
    </w:tbl>
    <w:p>
      <w:pPr>
        <w:pStyle w:val="NormalWeb"/>
        <w:shd w:val="clear" w:color="auto" w:fill="FFFFFF"/>
        <w:spacing w:before="0" w:beforeAutospacing="0" w:after="0" w:afterAutospacing="0" w:line="340" w:lineRule="exact"/>
        <w:jc w:val="center"/>
        <w:rPr>
          <w:color w:val="000000"/>
          <w:sz w:val="28"/>
          <w:szCs w:val="28"/>
        </w:rPr>
      </w:pPr>
    </w:p>
    <w:p>
      <w:pPr>
        <w:pStyle w:val="NormalWeb"/>
        <w:shd w:val="clear" w:color="auto" w:fill="FFFFFF"/>
        <w:spacing w:before="0" w:beforeAutospacing="0" w:after="0" w:afterAutospacing="0" w:line="340" w:lineRule="exact"/>
        <w:jc w:val="center"/>
        <w:rPr>
          <w:color w:val="000000"/>
          <w:sz w:val="28"/>
          <w:szCs w:val="28"/>
        </w:rPr>
      </w:pPr>
    </w:p>
    <w:p>
      <w:pPr>
        <w:pStyle w:val="NormalWeb"/>
        <w:shd w:val="clear" w:color="auto" w:fill="FFFFFF"/>
        <w:spacing w:before="0" w:beforeAutospacing="0" w:after="0" w:afterAutospacing="0" w:line="340" w:lineRule="exact"/>
        <w:jc w:val="center"/>
        <w:rPr>
          <w:bCs/>
          <w:color w:val="000000"/>
          <w:sz w:val="28"/>
          <w:szCs w:val="28"/>
        </w:rPr>
      </w:pPr>
      <w:r>
        <w:rPr>
          <w:color w:val="000000"/>
          <w:sz w:val="28"/>
          <w:szCs w:val="28"/>
          <w:lang w:val="vi-VN"/>
        </w:rPr>
        <w:t>Kính gửi:</w:t>
      </w:r>
      <w:r>
        <w:rPr>
          <w:b/>
          <w:color w:val="000000"/>
          <w:sz w:val="28"/>
          <w:szCs w:val="28"/>
        </w:rPr>
        <w:t xml:space="preserve">  </w:t>
      </w:r>
      <w:r>
        <w:rPr>
          <w:bCs/>
          <w:color w:val="000000"/>
          <w:sz w:val="28"/>
          <w:szCs w:val="28"/>
        </w:rPr>
        <w:t>Ủy ban Dân tộc</w:t>
      </w:r>
    </w:p>
    <w:p>
      <w:pPr>
        <w:spacing w:after="120" w:line="340" w:lineRule="exact"/>
        <w:jc w:val="both"/>
        <w:rPr>
          <w:color w:val="000000"/>
          <w:sz w:val="28"/>
          <w:szCs w:val="28"/>
        </w:rPr>
      </w:pPr>
      <w:r>
        <w:rPr>
          <w:color w:val="000000"/>
          <w:sz w:val="28"/>
          <w:szCs w:val="28"/>
        </w:rPr>
        <w:tab/>
      </w:r>
    </w:p>
    <w:p>
      <w:pPr>
        <w:spacing w:before="120" w:after="120"/>
        <w:ind w:firstLine="720"/>
        <w:jc w:val="both"/>
        <w:rPr>
          <w:sz w:val="28"/>
          <w:szCs w:val="28"/>
        </w:rPr>
      </w:pPr>
      <w:r>
        <w:rPr>
          <w:sz w:val="28"/>
          <w:szCs w:val="28"/>
        </w:rPr>
        <w:t xml:space="preserve">Thực hiện Văn bản số 10/UBDT-VPCTMTQG ngày 03/01/2025 của </w:t>
      </w:r>
      <w:r>
        <w:rPr>
          <w:sz w:val="28"/>
          <w:szCs w:val="28"/>
        </w:rPr>
        <w:br/>
        <w:t>Uỷ ban Dân tộc về việc rà soát một số kết quả thực hiện Chương trình mục tiêu quốc gia phát triển kinh tế - xã hội vùng đồng bào dân tộc thiểu số và miền núi giai đoạn 2021-2025; chỉ đạo của UBND tỉnh tại Văn bản số 231/UBND-NL</w:t>
      </w:r>
      <w:r>
        <w:rPr>
          <w:sz w:val="28"/>
          <w:szCs w:val="28"/>
          <w:vertAlign w:val="subscript"/>
        </w:rPr>
        <w:t>3</w:t>
      </w:r>
      <w:r>
        <w:rPr>
          <w:sz w:val="28"/>
          <w:szCs w:val="28"/>
        </w:rPr>
        <w:t xml:space="preserve"> ngày 13/01/2025, Văn phòng UBND tỉnh Hà Tĩnh xin báo cáo như sau:</w:t>
      </w:r>
    </w:p>
    <w:p>
      <w:pPr>
        <w:spacing w:before="120" w:after="120"/>
        <w:ind w:firstLine="720"/>
        <w:jc w:val="both"/>
        <w:rPr>
          <w:sz w:val="28"/>
          <w:szCs w:val="28"/>
        </w:rPr>
      </w:pPr>
      <w:r>
        <w:rPr>
          <w:sz w:val="28"/>
          <w:szCs w:val="28"/>
        </w:rPr>
        <w:t>1. Phân bổ, giao kế hoạch đầu tư công nguồn ngân sách Trung ương giai đoạn 2021-2025:</w:t>
      </w:r>
    </w:p>
    <w:p>
      <w:pPr>
        <w:spacing w:before="120" w:after="120"/>
        <w:ind w:firstLine="720"/>
        <w:jc w:val="both"/>
        <w:rPr>
          <w:sz w:val="28"/>
          <w:szCs w:val="28"/>
        </w:rPr>
      </w:pPr>
      <w:r>
        <w:rPr>
          <w:sz w:val="28"/>
          <w:szCs w:val="28"/>
        </w:rPr>
        <w:t>Tổng số vốn đầu tư phát triển được Trung ương giao là 34.552 triệu đồng, đã được Hội đồng nhân dân tỉnh thông qua tại Nghị quyết số 84/NQ-HĐND ngày 25/8/2022 và UBND tỉnh phân bổ cho các địa phương, đơn vị tại Quyết định số 1791/QĐ-UBND ngày 29/8/2022.</w:t>
      </w:r>
    </w:p>
    <w:p>
      <w:pPr>
        <w:spacing w:before="120" w:after="120"/>
        <w:ind w:firstLine="720"/>
        <w:jc w:val="both"/>
        <w:rPr>
          <w:sz w:val="28"/>
          <w:szCs w:val="28"/>
        </w:rPr>
      </w:pPr>
      <w:r>
        <w:rPr>
          <w:sz w:val="28"/>
          <w:szCs w:val="28"/>
        </w:rPr>
        <w:t xml:space="preserve">Tổng số vốn sự nghiệp được giao giai đoạn 2021-2024 là 11.803 triệu đồng; đã được UBND tỉnh phân bổ cho các địa phương, đơn vị tại các Quyết định: số 1792/QĐ-UBND ngày 29/8/2022, số 1428/QĐ-UBND ngày 20/6/2022, số 104/QĐ-UBND ngày 10/01/2024 </w:t>
      </w:r>
      <w:bookmarkStart w:id="0" w:name="_Hlk181174344"/>
      <w:r>
        <w:rPr>
          <w:sz w:val="28"/>
          <w:szCs w:val="28"/>
        </w:rPr>
        <w:t>và  số 757/QĐ-UBND ngày 01/4/2024.</w:t>
      </w:r>
    </w:p>
    <w:bookmarkEnd w:id="0"/>
    <w:p>
      <w:pPr>
        <w:spacing w:before="120" w:after="120"/>
        <w:ind w:firstLine="720"/>
        <w:jc w:val="both"/>
        <w:rPr>
          <w:sz w:val="28"/>
          <w:szCs w:val="28"/>
        </w:rPr>
      </w:pPr>
      <w:r>
        <w:rPr>
          <w:sz w:val="28"/>
          <w:szCs w:val="28"/>
        </w:rPr>
        <w:t xml:space="preserve">2. Về lập, phân bổ vốn hàng năm thực hiện Chương trình: </w:t>
      </w:r>
    </w:p>
    <w:p>
      <w:pPr>
        <w:widowControl w:val="0"/>
        <w:spacing w:before="120" w:after="120"/>
        <w:ind w:firstLine="720"/>
        <w:jc w:val="both"/>
        <w:rPr>
          <w:sz w:val="28"/>
          <w:szCs w:val="28"/>
        </w:rPr>
      </w:pPr>
      <w:r>
        <w:rPr>
          <w:iCs/>
          <w:sz w:val="28"/>
          <w:szCs w:val="28"/>
        </w:rPr>
        <w:t xml:space="preserve">Kinh phí đầu tư phát triển được Trung ương giao thực hiện Chương trình giai đoạn 2022-2025 là 27.102 triệu đồng. </w:t>
      </w:r>
      <w:r>
        <w:rPr>
          <w:sz w:val="28"/>
          <w:szCs w:val="28"/>
        </w:rPr>
        <w:t>Căn cứ kế hoạch vốn đầu tư thực hiện các chương trình mục tiêu quốc gia hàng năm được Thủ tướng Chính phủ giao, Sở Kế hoạch và Đầu tư đã kịp thời tham mưu UBND tỉnh trình HĐND tỉnh thông qua và thực hiện phân bổ chi tiết nguồn vốn hàng năm cho các địa phương. Kế hoạch vốn hàng năm được phân bổ kịp thời, theo đúng các nguyên tắc, tiêu chí quy định, nằm trong kế hoạch giai đoạn 2022-2025 đã được thông qua. Vốn ngân sách Trung ương thực hiện phân bổ cho các thôn, bản được thụ hưởng theo định mức quy định; việc lựa chọn danh mục công trình cụ thể do UBND cấp huyện lựa chọn, nhằm nâng cao quyền chủ động cho địa phương trong việc lựa chọn, quyết định nội dung công việc đảm bảo phù hợp với quy định của Chương trình, khả năng cân đối, bố trí nguồn lực của địa phương, đảm bảo sử dụng hiệu quả vốn đầu tư.</w:t>
      </w:r>
    </w:p>
    <w:p>
      <w:pPr>
        <w:widowControl w:val="0"/>
        <w:spacing w:before="120" w:after="120"/>
        <w:ind w:firstLine="720"/>
        <w:jc w:val="both"/>
        <w:rPr>
          <w:sz w:val="28"/>
          <w:szCs w:val="28"/>
        </w:rPr>
      </w:pPr>
      <w:r>
        <w:rPr>
          <w:sz w:val="28"/>
          <w:szCs w:val="28"/>
        </w:rPr>
        <w:t xml:space="preserve">3. Về vốn đối ứng của ngân sách địa phương thực hiện Chương trình: Đã phân bổ 3.500 triệu đồng vốn đầu tư phát triển từ ngân sách tỉnh để thực hiện </w:t>
      </w:r>
      <w:r>
        <w:rPr>
          <w:sz w:val="28"/>
          <w:szCs w:val="28"/>
        </w:rPr>
        <w:lastRenderedPageBreak/>
        <w:t xml:space="preserve">Chương trình năm 2025 (tại Quyết định số 3096/QĐ-UBND ngày 31/12/2024 của UBND tỉnh).    </w:t>
      </w:r>
    </w:p>
    <w:p>
      <w:pPr>
        <w:widowControl w:val="0"/>
        <w:spacing w:before="120" w:after="120"/>
        <w:ind w:firstLine="720"/>
        <w:jc w:val="both"/>
        <w:rPr>
          <w:sz w:val="28"/>
          <w:szCs w:val="28"/>
        </w:rPr>
      </w:pPr>
      <w:r>
        <w:rPr>
          <w:sz w:val="28"/>
          <w:szCs w:val="28"/>
        </w:rPr>
        <w:t>4. Lồng ghép nguồn vốn trong thực hiện các chương trình:</w:t>
      </w:r>
    </w:p>
    <w:p>
      <w:pPr>
        <w:widowControl w:val="0"/>
        <w:spacing w:before="120" w:after="120"/>
        <w:ind w:firstLine="720"/>
        <w:jc w:val="both"/>
        <w:rPr>
          <w:sz w:val="28"/>
          <w:szCs w:val="28"/>
        </w:rPr>
      </w:pPr>
      <w:r>
        <w:rPr>
          <w:sz w:val="28"/>
          <w:szCs w:val="28"/>
        </w:rPr>
        <w:t>Hội đồng nhân dân tỉnh đã ban hành Nghị quyết số 94/2022/NQ-HĐND ngày 16/12/2022 quy định cơ chế huy động, lồng ghép nguồn vốn thực hiện các chương trình MTQG giai đoạn 2022-2025, đã xác định 07 nhóm giải pháp để huy động, lồng ghép các nguồn vốn trong thực hiện các chương trình MTQG trên địa bàn tỉnh Hà Tĩnh. Trong thời gian qua, tỉnh Hà Tĩnh đã thực hiện lồng ghép các chính sách hỗ trợ làm đường giao thông nông thôn, kênh mương nội đồng trong xây dựng nông thôn mới; chính sách khuyến khích phát triển nông nghiệp, nông thôn gắn với xây dựng tỉnh đạt chuẩn nông thôn mới trên địa bàn tỉnh Hà Tĩnh, chính sách giảm nghèo và đảm bảo an sinh xã hội,…. Việc lồng ghép nguồn vốn trong thực hiện các chương trình MTQG đã mang lại hiệu quả thiết thực, huy động được nhiều loại nguồn vốn cùng thực hiện một nội dung công việc, đẩy nhanh tiến độ thực hiện, phát huy hiệu quả nguồn vốn.</w:t>
      </w:r>
    </w:p>
    <w:p>
      <w:pPr>
        <w:widowControl w:val="0"/>
        <w:spacing w:before="120" w:after="120"/>
        <w:ind w:firstLine="720"/>
        <w:jc w:val="center"/>
        <w:rPr>
          <w:i/>
          <w:sz w:val="28"/>
          <w:szCs w:val="28"/>
        </w:rPr>
      </w:pPr>
      <w:r>
        <w:rPr>
          <w:i/>
          <w:sz w:val="28"/>
          <w:szCs w:val="28"/>
        </w:rPr>
        <w:t>(Có các phụ lục báo cáo kèm theo).</w:t>
      </w:r>
    </w:p>
    <w:p>
      <w:pPr>
        <w:widowControl w:val="0"/>
        <w:spacing w:before="120" w:after="120"/>
        <w:ind w:firstLine="720"/>
        <w:jc w:val="both"/>
        <w:rPr>
          <w:iCs/>
          <w:sz w:val="28"/>
          <w:szCs w:val="28"/>
        </w:rPr>
      </w:pPr>
      <w:r>
        <w:rPr>
          <w:iCs/>
          <w:sz w:val="28"/>
          <w:szCs w:val="28"/>
        </w:rPr>
        <w:t>Kính đề nghị Uỷ ban Dân tộc xem xét tổng hợp./.</w:t>
      </w:r>
    </w:p>
    <w:p>
      <w:pPr>
        <w:spacing w:line="340" w:lineRule="exact"/>
        <w:ind w:firstLine="720"/>
        <w:jc w:val="both"/>
        <w:rPr>
          <w:spacing w:val="4"/>
          <w:sz w:val="28"/>
          <w:szCs w:val="28"/>
        </w:rPr>
      </w:pPr>
    </w:p>
    <w:tbl>
      <w:tblPr>
        <w:tblW w:w="0" w:type="auto"/>
        <w:tblLook w:val="01E0" w:firstRow="1" w:lastRow="1" w:firstColumn="1" w:lastColumn="1" w:noHBand="0" w:noVBand="0"/>
      </w:tblPr>
      <w:tblGrid>
        <w:gridCol w:w="4361"/>
        <w:gridCol w:w="4819"/>
      </w:tblGrid>
      <w:tr>
        <w:trPr>
          <w:trHeight w:val="1974"/>
        </w:trPr>
        <w:tc>
          <w:tcPr>
            <w:tcW w:w="4361" w:type="dxa"/>
            <w:hideMark/>
          </w:tcPr>
          <w:p>
            <w:pPr>
              <w:tabs>
                <w:tab w:val="left" w:pos="3828"/>
              </w:tabs>
              <w:spacing w:line="340" w:lineRule="exact"/>
              <w:ind w:left="-110"/>
              <w:rPr>
                <w:i/>
                <w:lang w:val="nl-NL"/>
              </w:rPr>
            </w:pPr>
            <w:r>
              <w:rPr>
                <w:b/>
                <w:i/>
                <w:lang w:val="nl-NL"/>
              </w:rPr>
              <w:t>Nơi nhận</w:t>
            </w:r>
            <w:r>
              <w:rPr>
                <w:i/>
                <w:lang w:val="nl-NL"/>
              </w:rPr>
              <w:t>:</w:t>
            </w:r>
          </w:p>
          <w:p>
            <w:pPr>
              <w:spacing w:line="260" w:lineRule="exact"/>
              <w:ind w:left="-108"/>
              <w:rPr>
                <w:sz w:val="22"/>
                <w:lang w:val="nl-NL"/>
              </w:rPr>
            </w:pPr>
            <w:r>
              <w:rPr>
                <w:sz w:val="22"/>
                <w:lang w:val="nl-NL"/>
              </w:rPr>
              <w:t>- Như trên;</w:t>
            </w:r>
          </w:p>
          <w:p>
            <w:pPr>
              <w:spacing w:line="260" w:lineRule="exact"/>
              <w:ind w:left="-108"/>
              <w:rPr>
                <w:sz w:val="22"/>
                <w:lang w:val="nl-NL"/>
              </w:rPr>
            </w:pPr>
            <w:r>
              <w:rPr>
                <w:sz w:val="22"/>
                <w:lang w:val="nl-NL"/>
              </w:rPr>
              <w:t>- UBND tỉnh (để b/c);</w:t>
            </w:r>
            <w:bookmarkStart w:id="1" w:name="_GoBack"/>
            <w:bookmarkEnd w:id="1"/>
          </w:p>
          <w:p>
            <w:pPr>
              <w:spacing w:line="260" w:lineRule="exact"/>
              <w:ind w:left="-108"/>
              <w:rPr>
                <w:sz w:val="22"/>
                <w:lang w:val="nl-NL"/>
              </w:rPr>
            </w:pPr>
            <w:r>
              <w:rPr>
                <w:sz w:val="22"/>
                <w:lang w:val="nl-NL"/>
              </w:rPr>
              <w:t>- Chánh, PCVP phụ trách;</w:t>
            </w:r>
          </w:p>
          <w:p>
            <w:pPr>
              <w:spacing w:line="260" w:lineRule="exact"/>
              <w:ind w:left="-108"/>
              <w:rPr>
                <w:sz w:val="22"/>
                <w:lang w:val="nl-NL"/>
              </w:rPr>
            </w:pPr>
            <w:r>
              <w:rPr>
                <w:sz w:val="22"/>
                <w:lang w:val="nl-NL"/>
              </w:rPr>
              <w:t>- Trung tâm CB-TH;</w:t>
            </w:r>
          </w:p>
          <w:p>
            <w:pPr>
              <w:spacing w:line="260" w:lineRule="exact"/>
              <w:ind w:left="-108"/>
              <w:rPr>
                <w:sz w:val="22"/>
                <w:lang w:val="nl-NL"/>
              </w:rPr>
            </w:pPr>
            <w:r>
              <w:rPr>
                <w:sz w:val="22"/>
                <w:lang w:val="nl-NL"/>
              </w:rPr>
              <w:t>- Lưu: VT, NL</w:t>
            </w:r>
            <w:r>
              <w:rPr>
                <w:sz w:val="22"/>
                <w:vertAlign w:val="subscript"/>
                <w:lang w:val="nl-NL"/>
              </w:rPr>
              <w:t>3</w:t>
            </w:r>
            <w:r>
              <w:rPr>
                <w:sz w:val="22"/>
                <w:lang w:val="nl-NL"/>
              </w:rPr>
              <w:t>.</w:t>
            </w:r>
          </w:p>
          <w:p>
            <w:pPr>
              <w:spacing w:line="260" w:lineRule="exact"/>
              <w:ind w:left="-108"/>
              <w:rPr>
                <w:sz w:val="22"/>
                <w:lang w:val="nl-NL"/>
              </w:rPr>
            </w:pPr>
          </w:p>
          <w:p>
            <w:pPr>
              <w:spacing w:line="260" w:lineRule="exact"/>
              <w:ind w:left="-108"/>
              <w:rPr>
                <w:sz w:val="22"/>
                <w:lang w:val="nl-NL"/>
              </w:rPr>
            </w:pPr>
          </w:p>
          <w:p>
            <w:pPr>
              <w:spacing w:line="260" w:lineRule="exact"/>
              <w:ind w:left="-108"/>
              <w:rPr>
                <w:sz w:val="22"/>
                <w:lang w:val="nl-NL"/>
              </w:rPr>
            </w:pPr>
          </w:p>
        </w:tc>
        <w:tc>
          <w:tcPr>
            <w:tcW w:w="4819" w:type="dxa"/>
          </w:tcPr>
          <w:p>
            <w:pPr>
              <w:tabs>
                <w:tab w:val="left" w:pos="435"/>
                <w:tab w:val="center" w:pos="2143"/>
              </w:tabs>
              <w:spacing w:line="300" w:lineRule="exact"/>
              <w:jc w:val="center"/>
              <w:rPr>
                <w:b/>
                <w:sz w:val="26"/>
                <w:szCs w:val="26"/>
              </w:rPr>
            </w:pPr>
            <w:r>
              <w:rPr>
                <w:b/>
                <w:sz w:val="26"/>
                <w:szCs w:val="26"/>
              </w:rPr>
              <w:t>KT. CHÁNH VĂN PHÒNG</w:t>
            </w:r>
          </w:p>
          <w:p>
            <w:pPr>
              <w:tabs>
                <w:tab w:val="left" w:pos="435"/>
                <w:tab w:val="center" w:pos="2143"/>
              </w:tabs>
              <w:spacing w:line="300" w:lineRule="exact"/>
              <w:jc w:val="center"/>
              <w:rPr>
                <w:b/>
                <w:sz w:val="26"/>
                <w:szCs w:val="26"/>
              </w:rPr>
            </w:pPr>
            <w:r>
              <w:rPr>
                <w:b/>
                <w:sz w:val="26"/>
                <w:szCs w:val="26"/>
              </w:rPr>
              <w:t>PHÓ CHÁNH VĂN PHÒNG</w:t>
            </w:r>
          </w:p>
          <w:p>
            <w:pPr>
              <w:spacing w:line="340" w:lineRule="exact"/>
              <w:jc w:val="center"/>
              <w:rPr>
                <w:b/>
                <w:szCs w:val="28"/>
              </w:rPr>
            </w:pPr>
          </w:p>
          <w:p>
            <w:pPr>
              <w:spacing w:line="340" w:lineRule="exact"/>
              <w:jc w:val="center"/>
              <w:rPr>
                <w:b/>
                <w:szCs w:val="28"/>
              </w:rPr>
            </w:pPr>
          </w:p>
          <w:p>
            <w:pPr>
              <w:spacing w:line="340" w:lineRule="exact"/>
              <w:jc w:val="center"/>
              <w:rPr>
                <w:b/>
                <w:szCs w:val="28"/>
              </w:rPr>
            </w:pPr>
          </w:p>
          <w:p>
            <w:pPr>
              <w:spacing w:line="340" w:lineRule="exact"/>
              <w:jc w:val="center"/>
              <w:rPr>
                <w:b/>
                <w:szCs w:val="28"/>
              </w:rPr>
            </w:pPr>
          </w:p>
          <w:p>
            <w:pPr>
              <w:spacing w:line="340" w:lineRule="exact"/>
              <w:jc w:val="center"/>
              <w:rPr>
                <w:b/>
                <w:szCs w:val="28"/>
              </w:rPr>
            </w:pPr>
          </w:p>
          <w:p>
            <w:pPr>
              <w:spacing w:line="340" w:lineRule="exact"/>
              <w:jc w:val="center"/>
              <w:rPr>
                <w:b/>
                <w:szCs w:val="28"/>
              </w:rPr>
            </w:pPr>
          </w:p>
          <w:p>
            <w:pPr>
              <w:spacing w:line="340" w:lineRule="exact"/>
              <w:jc w:val="center"/>
              <w:rPr>
                <w:b/>
                <w:sz w:val="28"/>
                <w:szCs w:val="28"/>
              </w:rPr>
            </w:pPr>
            <w:r>
              <w:rPr>
                <w:b/>
                <w:sz w:val="28"/>
                <w:szCs w:val="28"/>
              </w:rPr>
              <w:t>Lê Văn Sơn</w:t>
            </w:r>
          </w:p>
        </w:tc>
      </w:tr>
    </w:tbl>
    <w:p>
      <w:pPr>
        <w:spacing w:line="340" w:lineRule="exact"/>
        <w:rPr>
          <w:sz w:val="28"/>
          <w:szCs w:val="28"/>
        </w:rPr>
      </w:pPr>
    </w:p>
    <w:p>
      <w:pPr>
        <w:spacing w:line="340" w:lineRule="exact"/>
        <w:rPr>
          <w:sz w:val="28"/>
          <w:szCs w:val="28"/>
        </w:rPr>
      </w:pPr>
    </w:p>
    <w:p>
      <w:pPr>
        <w:spacing w:line="340" w:lineRule="exact"/>
        <w:rPr>
          <w:sz w:val="28"/>
          <w:szCs w:val="28"/>
        </w:rPr>
      </w:pPr>
    </w:p>
    <w:p>
      <w:pPr>
        <w:rPr>
          <w:sz w:val="28"/>
          <w:szCs w:val="28"/>
        </w:rPr>
      </w:pPr>
    </w:p>
    <w:sectPr>
      <w:pgSz w:w="11907" w:h="16840" w:code="9"/>
      <w:pgMar w:top="1021" w:right="1134" w:bottom="1077"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apple-converted-space">
    <w:name w:val="apple-converted-space"/>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apple-converted-space">
    <w:name w:val="apple-converted-space"/>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5732">
      <w:bodyDiv w:val="1"/>
      <w:marLeft w:val="0"/>
      <w:marRight w:val="0"/>
      <w:marTop w:val="0"/>
      <w:marBottom w:val="0"/>
      <w:divBdr>
        <w:top w:val="none" w:sz="0" w:space="0" w:color="auto"/>
        <w:left w:val="none" w:sz="0" w:space="0" w:color="auto"/>
        <w:bottom w:val="none" w:sz="0" w:space="0" w:color="auto"/>
        <w:right w:val="none" w:sz="0" w:space="0" w:color="auto"/>
      </w:divBdr>
    </w:div>
    <w:div w:id="1629431172">
      <w:bodyDiv w:val="1"/>
      <w:marLeft w:val="0"/>
      <w:marRight w:val="0"/>
      <w:marTop w:val="0"/>
      <w:marBottom w:val="0"/>
      <w:divBdr>
        <w:top w:val="none" w:sz="0" w:space="0" w:color="auto"/>
        <w:left w:val="none" w:sz="0" w:space="0" w:color="auto"/>
        <w:bottom w:val="none" w:sz="0" w:space="0" w:color="auto"/>
        <w:right w:val="none" w:sz="0" w:space="0" w:color="auto"/>
      </w:divBdr>
    </w:div>
    <w:div w:id="16824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6</cp:revision>
  <dcterms:created xsi:type="dcterms:W3CDTF">2025-01-20T08:20:00Z</dcterms:created>
  <dcterms:modified xsi:type="dcterms:W3CDTF">2025-01-20T09:02:00Z</dcterms:modified>
</cp:coreProperties>
</file>