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4"/>
        <w:gridCol w:w="5812"/>
      </w:tblGrid>
      <w:tr w:rsidR="00B53D82">
        <w:tc>
          <w:tcPr>
            <w:tcW w:w="3544" w:type="dxa"/>
          </w:tcPr>
          <w:p w:rsidR="00B53D82" w:rsidRDefault="00DB70A3">
            <w:pPr>
              <w:jc w:val="center"/>
              <w:rPr>
                <w:b/>
                <w:sz w:val="26"/>
              </w:rPr>
            </w:pPr>
            <w:bookmarkStart w:id="0" w:name="_GoBack"/>
            <w:bookmarkEnd w:id="0"/>
            <w:r>
              <w:rPr>
                <w:b/>
                <w:sz w:val="26"/>
              </w:rPr>
              <w:t>ỦY BAN NHÂN DÂN</w:t>
            </w:r>
          </w:p>
          <w:p w:rsidR="00B53D82" w:rsidRDefault="00DB70A3">
            <w:pPr>
              <w:jc w:val="center"/>
              <w:rPr>
                <w:b/>
                <w:sz w:val="26"/>
              </w:rPr>
            </w:pPr>
            <w:r>
              <w:rPr>
                <w:b/>
                <w:sz w:val="26"/>
              </w:rPr>
              <w:t>TỈNH HÀ TĨNH</w:t>
            </w:r>
          </w:p>
          <w:p w:rsidR="00B53D82" w:rsidRDefault="00DB70A3">
            <w:pPr>
              <w:jc w:val="center"/>
              <w:rPr>
                <w:b/>
                <w:sz w:val="26"/>
              </w:rPr>
            </w:pPr>
            <w:r>
              <w:rPr>
                <w:b/>
                <w:noProof/>
                <w:sz w:val="26"/>
              </w:rPr>
              <mc:AlternateContent>
                <mc:Choice Requires="wps">
                  <w:drawing>
                    <wp:anchor distT="4294967292" distB="4294967292" distL="114300" distR="114300" simplePos="0" relativeHeight="251657728" behindDoc="0" locked="0" layoutInCell="1" allowOverlap="1">
                      <wp:simplePos x="0" y="0"/>
                      <wp:positionH relativeFrom="column">
                        <wp:posOffset>706755</wp:posOffset>
                      </wp:positionH>
                      <wp:positionV relativeFrom="paragraph">
                        <wp:posOffset>24130</wp:posOffset>
                      </wp:positionV>
                      <wp:extent cx="650875" cy="0"/>
                      <wp:effectExtent l="0" t="0" r="1587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D9A45" id="Line 1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65pt,1.9pt" to="106.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M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"/>
                  </w:pict>
                </mc:Fallback>
              </mc:AlternateContent>
            </w:r>
          </w:p>
          <w:p w:rsidR="00B53D82" w:rsidRDefault="00DB70A3">
            <w:pPr>
              <w:spacing w:before="120"/>
              <w:jc w:val="center"/>
              <w:rPr>
                <w:sz w:val="26"/>
                <w:vertAlign w:val="subscript"/>
              </w:rPr>
            </w:pPr>
            <w:r>
              <w:rPr>
                <w:sz w:val="26"/>
                <w:lang w:val="vi-VN"/>
              </w:rPr>
              <w:t>Số:</w:t>
            </w:r>
            <w:r>
              <w:rPr>
                <w:sz w:val="26"/>
              </w:rPr>
              <w:t xml:space="preserve">            /UBND-NC</w:t>
            </w:r>
            <w:r>
              <w:rPr>
                <w:sz w:val="26"/>
                <w:vertAlign w:val="subscript"/>
              </w:rPr>
              <w:t xml:space="preserve"> </w:t>
            </w:r>
          </w:p>
          <w:p w:rsidR="00B53D82" w:rsidRDefault="00DB70A3">
            <w:pPr>
              <w:spacing w:before="60"/>
              <w:jc w:val="center"/>
              <w:rPr>
                <w:spacing w:val="-6"/>
                <w:sz w:val="24"/>
                <w:szCs w:val="24"/>
              </w:rPr>
            </w:pPr>
            <w:r>
              <w:rPr>
                <w:color w:val="333333"/>
                <w:spacing w:val="-6"/>
                <w:sz w:val="24"/>
                <w:szCs w:val="24"/>
                <w:shd w:val="clear" w:color="auto" w:fill="FFFFFF"/>
              </w:rPr>
              <w:t>V/v tham mưu triển khai Kế hoạch triển khai thi hành Luật Căn cước</w:t>
            </w:r>
          </w:p>
        </w:tc>
        <w:tc>
          <w:tcPr>
            <w:tcW w:w="5812" w:type="dxa"/>
          </w:tcPr>
          <w:p w:rsidR="00B53D82" w:rsidRDefault="00DB70A3">
            <w:pPr>
              <w:jc w:val="center"/>
              <w:rPr>
                <w:b/>
                <w:sz w:val="26"/>
                <w:lang w:val="vi-VN"/>
              </w:rPr>
            </w:pPr>
            <w:r>
              <w:rPr>
                <w:b/>
                <w:sz w:val="26"/>
                <w:lang w:val="vi-VN"/>
              </w:rPr>
              <w:t>CỘNG H</w:t>
            </w:r>
            <w:r>
              <w:rPr>
                <w:b/>
                <w:sz w:val="26"/>
              </w:rPr>
              <w:t xml:space="preserve">ÒA </w:t>
            </w:r>
            <w:r>
              <w:rPr>
                <w:b/>
                <w:sz w:val="26"/>
                <w:lang w:val="vi-VN"/>
              </w:rPr>
              <w:t>XÃ HỘI CHỦ NGHĨA VIỆT NAM</w:t>
            </w:r>
          </w:p>
          <w:p w:rsidR="00B53D82" w:rsidRDefault="00DB70A3">
            <w:pPr>
              <w:jc w:val="center"/>
              <w:rPr>
                <w:b/>
              </w:rPr>
            </w:pPr>
            <w:r>
              <w:rPr>
                <w:b/>
              </w:rPr>
              <w:t>Độc lập - Tự do - Hạnh phúc</w:t>
            </w:r>
          </w:p>
          <w:p w:rsidR="00B53D82" w:rsidRDefault="00DB70A3">
            <w:pPr>
              <w:jc w:val="center"/>
              <w:rPr>
                <w:sz w:val="24"/>
              </w:rPr>
            </w:pPr>
            <w:r>
              <w:rPr>
                <w:noProof/>
                <w:sz w:val="24"/>
              </w:rPr>
              <mc:AlternateContent>
                <mc:Choice Requires="wps">
                  <w:drawing>
                    <wp:anchor distT="4294967295" distB="4294967295" distL="114300" distR="114300" simplePos="0" relativeHeight="251656704" behindDoc="0" locked="0" layoutInCell="1" allowOverlap="1">
                      <wp:simplePos x="0" y="0"/>
                      <wp:positionH relativeFrom="column">
                        <wp:posOffset>746760</wp:posOffset>
                      </wp:positionH>
                      <wp:positionV relativeFrom="paragraph">
                        <wp:posOffset>41274</wp:posOffset>
                      </wp:positionV>
                      <wp:extent cx="20701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82BE0" id="Line 7"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3.25pt" to="221.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eyFw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"/>
                  </w:pict>
                </mc:Fallback>
              </mc:AlternateContent>
            </w:r>
          </w:p>
          <w:p w:rsidR="00B53D82" w:rsidRDefault="00DB70A3">
            <w:pPr>
              <w:spacing w:before="240"/>
              <w:rPr>
                <w:i/>
              </w:rPr>
            </w:pPr>
            <w:r>
              <w:rPr>
                <w:i/>
              </w:rPr>
              <w:t xml:space="preserve">               Hà Tĩnh, ngày       tháng      năm 2024</w:t>
            </w:r>
          </w:p>
        </w:tc>
      </w:tr>
    </w:tbl>
    <w:p w:rsidR="00B53D82" w:rsidRDefault="00DB70A3">
      <w:pPr>
        <w:spacing w:before="600"/>
        <w:jc w:val="both"/>
        <w:rPr>
          <w:lang w:val="nl-NL"/>
        </w:rPr>
      </w:pPr>
      <w:r>
        <w:rPr>
          <w:lang w:val="nl-NL"/>
        </w:rPr>
        <w:t xml:space="preserve">                      Kính gửi: </w:t>
      </w:r>
    </w:p>
    <w:p w:rsidR="00B53D82" w:rsidRDefault="00DB70A3">
      <w:pPr>
        <w:ind w:left="2835" w:hanging="141"/>
        <w:jc w:val="both"/>
        <w:rPr>
          <w:lang w:val="nl-NL"/>
        </w:rPr>
      </w:pPr>
      <w:r>
        <w:rPr>
          <w:lang w:val="nl-NL"/>
        </w:rPr>
        <w:t>- Công an tỉnh;</w:t>
      </w:r>
    </w:p>
    <w:p w:rsidR="00B53D82" w:rsidRDefault="00DB70A3">
      <w:pPr>
        <w:ind w:left="2835" w:hanging="141"/>
        <w:jc w:val="both"/>
        <w:rPr>
          <w:lang w:val="nl-NL"/>
        </w:rPr>
      </w:pPr>
      <w:r>
        <w:rPr>
          <w:lang w:val="nl-NL"/>
        </w:rPr>
        <w:t>- Các Sở: Tư pháp, Thông tin và Truyền thông,</w:t>
      </w:r>
    </w:p>
    <w:p w:rsidR="00B53D82" w:rsidRDefault="00DB70A3">
      <w:pPr>
        <w:ind w:left="2835" w:hanging="141"/>
        <w:jc w:val="both"/>
        <w:rPr>
          <w:lang w:val="nl-NL"/>
        </w:rPr>
      </w:pPr>
      <w:r>
        <w:rPr>
          <w:lang w:val="nl-NL"/>
        </w:rPr>
        <w:t xml:space="preserve">  Tài chính, Kế hoạch và Đầu tư; </w:t>
      </w:r>
    </w:p>
    <w:p w:rsidR="00B53D82" w:rsidRDefault="00DB70A3">
      <w:pPr>
        <w:ind w:left="2835" w:hanging="141"/>
        <w:jc w:val="both"/>
        <w:rPr>
          <w:lang w:val="nl-NL"/>
        </w:rPr>
      </w:pPr>
      <w:r>
        <w:rPr>
          <w:lang w:val="nl-NL"/>
        </w:rPr>
        <w:t>- Báo Hà Tĩnh; Đài Phát thanh và Truyền hình tỉnh;</w:t>
      </w:r>
    </w:p>
    <w:p w:rsidR="00B53D82" w:rsidRDefault="00DB70A3">
      <w:pPr>
        <w:ind w:left="2835" w:hanging="141"/>
        <w:jc w:val="both"/>
        <w:rPr>
          <w:lang w:val="nl-NL"/>
        </w:rPr>
      </w:pPr>
      <w:r>
        <w:rPr>
          <w:lang w:val="nl-NL"/>
        </w:rPr>
        <w:t>- UBND các huyện, thành phố, thị xã</w:t>
      </w:r>
      <w:r>
        <w:rPr>
          <w:spacing w:val="-4"/>
          <w:lang w:val="nl-NL"/>
        </w:rPr>
        <w:t>.</w:t>
      </w:r>
    </w:p>
    <w:p w:rsidR="00B53D82" w:rsidRDefault="00B53D82">
      <w:pPr>
        <w:spacing w:before="120"/>
        <w:jc w:val="both"/>
        <w:rPr>
          <w:lang w:val="nl-NL"/>
        </w:rPr>
      </w:pPr>
    </w:p>
    <w:p w:rsidR="00B53D82" w:rsidRDefault="00DB70A3">
      <w:pPr>
        <w:spacing w:before="120"/>
        <w:ind w:firstLine="709"/>
        <w:jc w:val="both"/>
        <w:rPr>
          <w:rFonts w:ascii="Arial" w:hAnsi="Arial" w:cs="Arial"/>
          <w:color w:val="333333"/>
          <w:sz w:val="20"/>
          <w:szCs w:val="20"/>
          <w:shd w:val="clear" w:color="auto" w:fill="FFFFFF"/>
        </w:rPr>
      </w:pPr>
      <w:r>
        <w:rPr>
          <w:lang w:val="nl-NL"/>
        </w:rPr>
        <w:t>Thực hiện Quyết định số 175/QĐ-TTg ngày 14/02/2024 của Thủ tướng Chính phủ về việc ban hành Kế hoạch triển khai thi hành Luật Căn cước</w:t>
      </w:r>
      <w:r>
        <w:rPr>
          <w:rFonts w:ascii="Arial" w:hAnsi="Arial" w:cs="Arial"/>
          <w:i/>
          <w:sz w:val="20"/>
          <w:szCs w:val="20"/>
        </w:rPr>
        <w:t xml:space="preserve"> (</w:t>
      </w:r>
      <w:r>
        <w:rPr>
          <w:bCs/>
          <w:i/>
        </w:rPr>
        <w:t>g</w:t>
      </w:r>
      <w:r>
        <w:rPr>
          <w:i/>
        </w:rPr>
        <w:t>ửi kèm trên Hệ thống gửi nhận văn bản điện tử)</w:t>
      </w:r>
      <w:r>
        <w:t xml:space="preserve">; </w:t>
      </w:r>
    </w:p>
    <w:p w:rsidR="00B53D82" w:rsidRDefault="00DB70A3">
      <w:pPr>
        <w:spacing w:before="120"/>
        <w:ind w:firstLine="709"/>
        <w:jc w:val="both"/>
        <w:rPr>
          <w:lang w:val="nl-NL"/>
        </w:rPr>
      </w:pPr>
      <w:r>
        <w:rPr>
          <w:lang w:val="nl-NL"/>
        </w:rPr>
        <w:t>Phó Chủ tịch Thường trực UBND tỉnh có ý kiến như sau:</w:t>
      </w:r>
    </w:p>
    <w:p w:rsidR="00B53D82" w:rsidRDefault="00C12FFA">
      <w:pPr>
        <w:spacing w:before="120" w:after="240"/>
        <w:ind w:firstLine="709"/>
        <w:jc w:val="both"/>
        <w:rPr>
          <w:lang w:val="nl-NL"/>
        </w:rPr>
      </w:pPr>
      <w:r>
        <w:rPr>
          <w:lang w:val="nl-NL"/>
        </w:rPr>
        <w:t xml:space="preserve">Giao </w:t>
      </w:r>
      <w:r w:rsidR="00DB70A3">
        <w:rPr>
          <w:lang w:val="nl-NL"/>
        </w:rPr>
        <w:t>Công an tỉnh chủ trì, phối hợp với các đơn vị, địa phương có tên trên và cơ quan liên quan soát xét, tham mưu triển khai thực hiện Quyết định nêu trên của Thủ tướng Chính phủ theo đúng quy định của pháp luật và phù hợp với tình hình, điều kiện thực tiễn của Tỉnh</w:t>
      </w:r>
      <w:r w:rsidR="00DB70A3">
        <w:t xml:space="preserve">; </w:t>
      </w:r>
      <w:r w:rsidR="00DB70A3">
        <w:rPr>
          <w:lang w:val="nl-NL"/>
        </w:rPr>
        <w:t>báo cáo UBND tỉnh trước ngày 15/3/2024</w:t>
      </w:r>
      <w:r w:rsidR="00DB70A3">
        <w:rPr>
          <w:spacing w:val="-4"/>
          <w:lang w:val="nl-NL"/>
        </w:rPr>
        <w:t>./.</w:t>
      </w:r>
    </w:p>
    <w:p w:rsidR="00B53D82" w:rsidRDefault="00B53D82">
      <w:pPr>
        <w:spacing w:before="120"/>
        <w:jc w:val="both"/>
        <w:rPr>
          <w:sz w:val="6"/>
        </w:rPr>
      </w:pPr>
    </w:p>
    <w:tbl>
      <w:tblPr>
        <w:tblW w:w="8976" w:type="dxa"/>
        <w:tblInd w:w="108" w:type="dxa"/>
        <w:tblLayout w:type="fixed"/>
        <w:tblLook w:val="0000" w:firstRow="0" w:lastRow="0" w:firstColumn="0" w:lastColumn="0" w:noHBand="0" w:noVBand="0"/>
      </w:tblPr>
      <w:tblGrid>
        <w:gridCol w:w="4678"/>
        <w:gridCol w:w="4298"/>
      </w:tblGrid>
      <w:tr w:rsidR="00B53D82">
        <w:trPr>
          <w:trHeight w:val="80"/>
        </w:trPr>
        <w:tc>
          <w:tcPr>
            <w:tcW w:w="4678" w:type="dxa"/>
          </w:tcPr>
          <w:p w:rsidR="00B53D82" w:rsidRDefault="00DB70A3">
            <w:pPr>
              <w:jc w:val="both"/>
              <w:rPr>
                <w:sz w:val="24"/>
                <w:szCs w:val="24"/>
                <w:lang w:val="vi-VN"/>
              </w:rPr>
            </w:pPr>
            <w:r>
              <w:rPr>
                <w:b/>
                <w:bCs/>
                <w:i/>
                <w:iCs/>
                <w:sz w:val="24"/>
                <w:szCs w:val="24"/>
                <w:lang w:val="vi-VN"/>
              </w:rPr>
              <w:t>Nơi nhận:</w:t>
            </w:r>
            <w:r>
              <w:rPr>
                <w:sz w:val="24"/>
                <w:szCs w:val="24"/>
                <w:lang w:val="vi-VN"/>
              </w:rPr>
              <w:t xml:space="preserve"> </w:t>
            </w:r>
          </w:p>
          <w:p w:rsidR="00B53D82" w:rsidRDefault="00DB70A3">
            <w:pPr>
              <w:jc w:val="both"/>
              <w:rPr>
                <w:sz w:val="22"/>
                <w:szCs w:val="22"/>
              </w:rPr>
            </w:pPr>
            <w:r>
              <w:rPr>
                <w:sz w:val="22"/>
                <w:szCs w:val="22"/>
                <w:lang w:val="vi-VN"/>
              </w:rPr>
              <w:t>- Như trên;</w:t>
            </w:r>
          </w:p>
          <w:p w:rsidR="00B53D82" w:rsidRDefault="00DB70A3">
            <w:pPr>
              <w:jc w:val="both"/>
              <w:rPr>
                <w:sz w:val="22"/>
                <w:szCs w:val="22"/>
              </w:rPr>
            </w:pPr>
            <w:r>
              <w:rPr>
                <w:sz w:val="22"/>
                <w:szCs w:val="22"/>
                <w:lang w:val="vi-VN"/>
              </w:rPr>
              <w:t>- Chủ tịch</w:t>
            </w:r>
            <w:r>
              <w:rPr>
                <w:sz w:val="22"/>
                <w:szCs w:val="22"/>
              </w:rPr>
              <w:t xml:space="preserve">, các PCT </w:t>
            </w:r>
            <w:r>
              <w:rPr>
                <w:sz w:val="22"/>
                <w:szCs w:val="22"/>
                <w:lang w:val="vi-VN"/>
              </w:rPr>
              <w:t>UBND tỉnh</w:t>
            </w:r>
            <w:r>
              <w:rPr>
                <w:sz w:val="22"/>
                <w:szCs w:val="22"/>
              </w:rPr>
              <w:t xml:space="preserve"> (để b/c)</w:t>
            </w:r>
            <w:r>
              <w:rPr>
                <w:sz w:val="22"/>
                <w:szCs w:val="22"/>
                <w:lang w:val="vi-VN"/>
              </w:rPr>
              <w:t>;</w:t>
            </w:r>
          </w:p>
          <w:p w:rsidR="00B53D82" w:rsidRDefault="00DB70A3">
            <w:pPr>
              <w:jc w:val="both"/>
              <w:rPr>
                <w:sz w:val="22"/>
                <w:szCs w:val="22"/>
              </w:rPr>
            </w:pPr>
            <w:r>
              <w:rPr>
                <w:sz w:val="22"/>
                <w:szCs w:val="22"/>
                <w:lang w:val="vi-VN"/>
              </w:rPr>
              <w:t>- Chánh VP</w:t>
            </w:r>
            <w:r>
              <w:rPr>
                <w:sz w:val="22"/>
                <w:szCs w:val="22"/>
              </w:rPr>
              <w:t>, các PCVP UBND tỉnh;</w:t>
            </w:r>
          </w:p>
          <w:p w:rsidR="00B53D82" w:rsidRDefault="00DB70A3">
            <w:pPr>
              <w:jc w:val="both"/>
              <w:rPr>
                <w:sz w:val="22"/>
                <w:szCs w:val="22"/>
              </w:rPr>
            </w:pPr>
            <w:r>
              <w:rPr>
                <w:sz w:val="22"/>
                <w:szCs w:val="22"/>
              </w:rPr>
              <w:t>- Trung tâm CB-TH tỉnh;</w:t>
            </w:r>
          </w:p>
          <w:p w:rsidR="00B53D82" w:rsidRDefault="00DB70A3">
            <w:pPr>
              <w:jc w:val="both"/>
              <w:rPr>
                <w:lang w:val="vi-VN"/>
              </w:rPr>
            </w:pPr>
            <w:r>
              <w:rPr>
                <w:sz w:val="22"/>
                <w:szCs w:val="22"/>
                <w:lang w:val="vi-VN"/>
              </w:rPr>
              <w:t>- Lưu: VT, NC.</w:t>
            </w:r>
          </w:p>
        </w:tc>
        <w:tc>
          <w:tcPr>
            <w:tcW w:w="4298" w:type="dxa"/>
          </w:tcPr>
          <w:p w:rsidR="00B53D82" w:rsidRDefault="00DB70A3">
            <w:pPr>
              <w:jc w:val="center"/>
              <w:rPr>
                <w:b/>
                <w:bCs/>
                <w:sz w:val="26"/>
                <w:szCs w:val="26"/>
              </w:rPr>
            </w:pPr>
            <w:r>
              <w:rPr>
                <w:b/>
                <w:bCs/>
                <w:sz w:val="26"/>
                <w:szCs w:val="26"/>
              </w:rPr>
              <w:t>TL. CHỦ TỊCH</w:t>
            </w:r>
          </w:p>
          <w:p w:rsidR="00B53D82" w:rsidRDefault="00DB70A3">
            <w:pPr>
              <w:jc w:val="center"/>
              <w:rPr>
                <w:b/>
                <w:bCs/>
                <w:sz w:val="26"/>
                <w:szCs w:val="26"/>
              </w:rPr>
            </w:pPr>
            <w:r>
              <w:rPr>
                <w:b/>
                <w:bCs/>
                <w:sz w:val="26"/>
                <w:szCs w:val="26"/>
              </w:rPr>
              <w:t>KT. CHÁNH VĂN PHÒNG</w:t>
            </w:r>
          </w:p>
          <w:p w:rsidR="00B53D82" w:rsidRDefault="00DB70A3">
            <w:pPr>
              <w:jc w:val="center"/>
              <w:rPr>
                <w:b/>
                <w:bCs/>
                <w:sz w:val="26"/>
                <w:szCs w:val="26"/>
              </w:rPr>
            </w:pPr>
            <w:r>
              <w:rPr>
                <w:b/>
                <w:bCs/>
                <w:sz w:val="26"/>
                <w:szCs w:val="26"/>
              </w:rPr>
              <w:t>PHÓ CHÁNH VĂN PHÒNG</w:t>
            </w:r>
          </w:p>
          <w:p w:rsidR="00B53D82" w:rsidRDefault="00B53D82">
            <w:pPr>
              <w:jc w:val="center"/>
              <w:rPr>
                <w:b/>
                <w:bCs/>
                <w:sz w:val="26"/>
                <w:szCs w:val="26"/>
              </w:rPr>
            </w:pPr>
          </w:p>
          <w:p w:rsidR="00B53D82" w:rsidRDefault="00B53D82">
            <w:pPr>
              <w:jc w:val="center"/>
              <w:rPr>
                <w:b/>
                <w:bCs/>
                <w:sz w:val="26"/>
                <w:szCs w:val="26"/>
              </w:rPr>
            </w:pPr>
          </w:p>
          <w:p w:rsidR="00B53D82" w:rsidRDefault="00B53D82">
            <w:pPr>
              <w:jc w:val="center"/>
              <w:rPr>
                <w:b/>
                <w:bCs/>
                <w:sz w:val="38"/>
                <w:szCs w:val="26"/>
              </w:rPr>
            </w:pPr>
          </w:p>
          <w:p w:rsidR="00B53D82" w:rsidRDefault="00DB70A3">
            <w:pPr>
              <w:jc w:val="center"/>
              <w:rPr>
                <w:b/>
                <w:bCs/>
                <w:sz w:val="26"/>
                <w:szCs w:val="26"/>
              </w:rPr>
            </w:pPr>
            <w:r>
              <w:rPr>
                <w:b/>
                <w:bCs/>
                <w:sz w:val="26"/>
                <w:szCs w:val="26"/>
              </w:rPr>
              <w:t xml:space="preserve"> </w:t>
            </w:r>
          </w:p>
          <w:p w:rsidR="00B53D82" w:rsidRDefault="00B53D82">
            <w:pPr>
              <w:jc w:val="center"/>
              <w:rPr>
                <w:b/>
                <w:bCs/>
                <w:sz w:val="12"/>
                <w:szCs w:val="26"/>
              </w:rPr>
            </w:pPr>
          </w:p>
          <w:p w:rsidR="00B53D82" w:rsidRDefault="00B53D82">
            <w:pPr>
              <w:jc w:val="center"/>
              <w:rPr>
                <w:b/>
                <w:bCs/>
                <w:sz w:val="18"/>
                <w:szCs w:val="26"/>
              </w:rPr>
            </w:pPr>
          </w:p>
          <w:p w:rsidR="00B53D82" w:rsidRDefault="00B53D82">
            <w:pPr>
              <w:jc w:val="center"/>
              <w:rPr>
                <w:b/>
                <w:bCs/>
                <w:sz w:val="18"/>
                <w:szCs w:val="26"/>
              </w:rPr>
            </w:pPr>
          </w:p>
          <w:p w:rsidR="00B53D82" w:rsidRDefault="00B53D82">
            <w:pPr>
              <w:jc w:val="center"/>
              <w:rPr>
                <w:b/>
                <w:bCs/>
                <w:sz w:val="16"/>
                <w:szCs w:val="26"/>
              </w:rPr>
            </w:pPr>
          </w:p>
          <w:p w:rsidR="00B53D82" w:rsidRDefault="00DB70A3">
            <w:pPr>
              <w:jc w:val="center"/>
              <w:rPr>
                <w:b/>
                <w:bCs/>
              </w:rPr>
            </w:pPr>
            <w:r>
              <w:rPr>
                <w:b/>
                <w:bCs/>
              </w:rPr>
              <w:t xml:space="preserve">     Trần Công Thành</w:t>
            </w:r>
          </w:p>
        </w:tc>
      </w:tr>
    </w:tbl>
    <w:p w:rsidR="00B53D82" w:rsidRDefault="00B53D82">
      <w:pPr>
        <w:jc w:val="both"/>
        <w:rPr>
          <w:sz w:val="14"/>
        </w:rPr>
      </w:pPr>
    </w:p>
    <w:sectPr w:rsidR="00B53D82">
      <w:footerReference w:type="even" r:id="rId8"/>
      <w:footerReference w:type="default" r:id="rId9"/>
      <w:type w:val="continuous"/>
      <w:pgSz w:w="11907" w:h="16840" w:code="9"/>
      <w:pgMar w:top="1077" w:right="1077" w:bottom="510" w:left="1644" w:header="720" w:footer="217" w:gutter="0"/>
      <w:paperSrc w:first="4" w:other="4"/>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94" w:rsidRDefault="000B5B94">
      <w:r>
        <w:separator/>
      </w:r>
    </w:p>
  </w:endnote>
  <w:endnote w:type="continuationSeparator" w:id="0">
    <w:p w:rsidR="000B5B94" w:rsidRDefault="000B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82" w:rsidRDefault="00DB70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D82" w:rsidRDefault="00B53D8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D82" w:rsidRDefault="00B53D82">
    <w:pPr>
      <w:pStyle w:val="Footer"/>
      <w:framePr w:wrap="around" w:vAnchor="text" w:hAnchor="margin" w:xAlign="right" w:y="1"/>
      <w:rPr>
        <w:rStyle w:val="PageNumber"/>
      </w:rPr>
    </w:pPr>
  </w:p>
  <w:p w:rsidR="00B53D82" w:rsidRDefault="00B53D8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94" w:rsidRDefault="000B5B94">
      <w:r>
        <w:separator/>
      </w:r>
    </w:p>
  </w:footnote>
  <w:footnote w:type="continuationSeparator" w:id="0">
    <w:p w:rsidR="000B5B94" w:rsidRDefault="000B5B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AEC"/>
    <w:multiLevelType w:val="hybridMultilevel"/>
    <w:tmpl w:val="45EC05EE"/>
    <w:lvl w:ilvl="0" w:tplc="D046C3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CB554E"/>
    <w:multiLevelType w:val="hybridMultilevel"/>
    <w:tmpl w:val="C706AD1C"/>
    <w:lvl w:ilvl="0" w:tplc="9E2EB6DC">
      <w:start w:val="2"/>
      <w:numFmt w:val="bullet"/>
      <w:lvlText w:val="-"/>
      <w:lvlJc w:val="left"/>
      <w:pPr>
        <w:ind w:left="3054" w:hanging="360"/>
      </w:pPr>
      <w:rPr>
        <w:rFonts w:ascii="Times New Roman" w:eastAsia="Times New Roman"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2" w15:restartNumberingAfterBreak="0">
    <w:nsid w:val="17ED21C8"/>
    <w:multiLevelType w:val="hybridMultilevel"/>
    <w:tmpl w:val="0B869970"/>
    <w:lvl w:ilvl="0" w:tplc="B5307FAA">
      <w:start w:val="6"/>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D5533"/>
    <w:multiLevelType w:val="multilevel"/>
    <w:tmpl w:val="45EC05EE"/>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191E2E"/>
    <w:multiLevelType w:val="hybridMultilevel"/>
    <w:tmpl w:val="D664706C"/>
    <w:lvl w:ilvl="0" w:tplc="2A2648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B83729D"/>
    <w:multiLevelType w:val="hybridMultilevel"/>
    <w:tmpl w:val="EF309C4E"/>
    <w:lvl w:ilvl="0" w:tplc="8C7E6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B61904"/>
    <w:multiLevelType w:val="hybridMultilevel"/>
    <w:tmpl w:val="8B7CAA04"/>
    <w:lvl w:ilvl="0" w:tplc="6DEC59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72D65481"/>
    <w:multiLevelType w:val="hybridMultilevel"/>
    <w:tmpl w:val="717AEE58"/>
    <w:lvl w:ilvl="0" w:tplc="3BD01E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AE3422"/>
    <w:multiLevelType w:val="hybridMultilevel"/>
    <w:tmpl w:val="F97CAB76"/>
    <w:lvl w:ilvl="0" w:tplc="60FC3AB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64F0F92"/>
    <w:multiLevelType w:val="hybridMultilevel"/>
    <w:tmpl w:val="821023B2"/>
    <w:lvl w:ilvl="0" w:tplc="9752BD08">
      <w:start w:val="2"/>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15:restartNumberingAfterBreak="0">
    <w:nsid w:val="7B302D4A"/>
    <w:multiLevelType w:val="hybridMultilevel"/>
    <w:tmpl w:val="B252663A"/>
    <w:lvl w:ilvl="0" w:tplc="9A38D2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BD90125"/>
    <w:multiLevelType w:val="hybridMultilevel"/>
    <w:tmpl w:val="D6FC2510"/>
    <w:lvl w:ilvl="0" w:tplc="A2123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9"/>
  </w:num>
  <w:num w:numId="6">
    <w:abstractNumId w:val="8"/>
  </w:num>
  <w:num w:numId="7">
    <w:abstractNumId w:val="11"/>
  </w:num>
  <w:num w:numId="8">
    <w:abstractNumId w:val="7"/>
  </w:num>
  <w:num w:numId="9">
    <w:abstractNumId w:val="6"/>
  </w:num>
  <w:num w:numId="10">
    <w:abstractNumId w:val="1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82"/>
    <w:rsid w:val="000B5B94"/>
    <w:rsid w:val="00B53D82"/>
    <w:rsid w:val="00C12FFA"/>
    <w:rsid w:val="00DB70A3"/>
    <w:rsid w:val="00E11B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63C680-9F5A-49BB-AEF1-24C8C833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har">
    <w:name w:val="Char"/>
    <w:basedOn w:val="Normal"/>
    <w:semiHidden/>
    <w:pPr>
      <w:spacing w:after="160" w:line="240" w:lineRule="exact"/>
    </w:pPr>
    <w:rPr>
      <w:rFonts w:ascii="Arial" w:hAnsi="Arial"/>
      <w:sz w:val="22"/>
      <w:szCs w:val="22"/>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8"/>
      <w:szCs w:val="2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06580">
      <w:bodyDiv w:val="1"/>
      <w:marLeft w:val="0"/>
      <w:marRight w:val="0"/>
      <w:marTop w:val="0"/>
      <w:marBottom w:val="0"/>
      <w:divBdr>
        <w:top w:val="none" w:sz="0" w:space="0" w:color="auto"/>
        <w:left w:val="none" w:sz="0" w:space="0" w:color="auto"/>
        <w:bottom w:val="none" w:sz="0" w:space="0" w:color="auto"/>
        <w:right w:val="none" w:sz="0" w:space="0" w:color="auto"/>
      </w:divBdr>
    </w:div>
    <w:div w:id="1216893449">
      <w:bodyDiv w:val="1"/>
      <w:marLeft w:val="0"/>
      <w:marRight w:val="0"/>
      <w:marTop w:val="0"/>
      <w:marBottom w:val="0"/>
      <w:divBdr>
        <w:top w:val="none" w:sz="0" w:space="0" w:color="auto"/>
        <w:left w:val="none" w:sz="0" w:space="0" w:color="auto"/>
        <w:bottom w:val="none" w:sz="0" w:space="0" w:color="auto"/>
        <w:right w:val="none" w:sz="0" w:space="0" w:color="auto"/>
      </w:divBdr>
    </w:div>
    <w:div w:id="16002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EBCBA-BBFE-42F1-AF30-27E8EFF4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SỞ NỘI VỤ</vt:lpstr>
    </vt:vector>
  </TitlesOfParts>
  <Company>&lt;egyptian hak&gt;</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dc:title>
  <dc:creator>tsc</dc:creator>
  <cp:lastModifiedBy>DELL</cp:lastModifiedBy>
  <cp:revision>13</cp:revision>
  <cp:lastPrinted>2022-06-02T07:53:00Z</cp:lastPrinted>
  <dcterms:created xsi:type="dcterms:W3CDTF">2024-02-25T23:42:00Z</dcterms:created>
  <dcterms:modified xsi:type="dcterms:W3CDTF">2024-02-26T10:15:00Z</dcterms:modified>
</cp:coreProperties>
</file>