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9" w:type="dxa"/>
        <w:jc w:val="center"/>
        <w:tblLook w:val="0000" w:firstRow="0" w:lastRow="0" w:firstColumn="0" w:lastColumn="0" w:noHBand="0" w:noVBand="0"/>
      </w:tblPr>
      <w:tblGrid>
        <w:gridCol w:w="3628"/>
        <w:gridCol w:w="5791"/>
      </w:tblGrid>
      <w:tr>
        <w:trPr>
          <w:trHeight w:val="1524"/>
          <w:jc w:val="center"/>
        </w:trPr>
        <w:tc>
          <w:tcPr>
            <w:tcW w:w="3628" w:type="dxa"/>
          </w:tcPr>
          <w:p>
            <w:pPr>
              <w:pStyle w:val="NormalWeb"/>
              <w:spacing w:before="0" w:beforeAutospacing="0" w:after="0" w:afterAutospacing="0"/>
              <w:jc w:val="center"/>
              <w:rPr>
                <w:sz w:val="26"/>
                <w:szCs w:val="26"/>
              </w:rPr>
            </w:pPr>
            <w:r>
              <w:rPr>
                <w:sz w:val="26"/>
                <w:szCs w:val="26"/>
              </w:rPr>
              <w:t>UBND TỈNH HÀ TĨNH</w:t>
            </w:r>
          </w:p>
          <w:p>
            <w:pPr>
              <w:pStyle w:val="NormalWeb"/>
              <w:spacing w:before="0" w:beforeAutospacing="0" w:after="0" w:afterAutospacing="0"/>
              <w:jc w:val="center"/>
              <w:rPr>
                <w:b/>
                <w:sz w:val="26"/>
                <w:szCs w:val="26"/>
              </w:rPr>
            </w:pPr>
            <w:r>
              <w:rPr>
                <w:b/>
                <w:sz w:val="26"/>
                <w:szCs w:val="26"/>
              </w:rPr>
              <w:t xml:space="preserve">VĂN PHÒNG </w:t>
            </w:r>
          </w:p>
          <w:p>
            <w:pPr>
              <w:pStyle w:val="NormalWeb"/>
              <w:spacing w:before="0" w:beforeAutospacing="0" w:after="0" w:afterAutospacing="0"/>
              <w:jc w:val="center"/>
              <w:rPr>
                <w:b/>
                <w:bCs/>
                <w:color w:val="333333"/>
                <w:sz w:val="26"/>
                <w:szCs w:val="20"/>
              </w:rPr>
            </w:pPr>
            <w:r>
              <w:rPr>
                <w:b/>
                <w:bCs/>
                <w:noProof/>
                <w:color w:val="333333"/>
                <w:sz w:val="20"/>
                <w:szCs w:val="20"/>
              </w:rPr>
              <mc:AlternateContent>
                <mc:Choice Requires="wps">
                  <w:drawing>
                    <wp:anchor distT="4294967295" distB="4294967295" distL="114300" distR="114300" simplePos="0" relativeHeight="251660288" behindDoc="0" locked="0" layoutInCell="1" allowOverlap="1">
                      <wp:simplePos x="0" y="0"/>
                      <wp:positionH relativeFrom="column">
                        <wp:posOffset>873125</wp:posOffset>
                      </wp:positionH>
                      <wp:positionV relativeFrom="paragraph">
                        <wp:posOffset>18415</wp:posOffset>
                      </wp:positionV>
                      <wp:extent cx="43200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75pt,1.45pt" to="102.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14EgIAACg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"/>
                  </w:pict>
                </mc:Fallback>
              </mc:AlternateContent>
            </w:r>
          </w:p>
          <w:p>
            <w:pPr>
              <w:pStyle w:val="NormalWeb"/>
              <w:spacing w:before="0" w:beforeAutospacing="0" w:after="0" w:afterAutospacing="0"/>
              <w:jc w:val="center"/>
              <w:rPr>
                <w:color w:val="333333"/>
                <w:sz w:val="28"/>
                <w:szCs w:val="20"/>
              </w:rPr>
            </w:pPr>
            <w:r>
              <w:rPr>
                <w:sz w:val="26"/>
              </w:rPr>
              <w:t>Số:         /GM-VPUB</w:t>
            </w:r>
          </w:p>
        </w:tc>
        <w:tc>
          <w:tcPr>
            <w:tcW w:w="5791" w:type="dxa"/>
          </w:tcPr>
          <w:p>
            <w:pPr>
              <w:pStyle w:val="NormalWeb"/>
              <w:spacing w:before="0" w:beforeAutospacing="0" w:after="0" w:afterAutospacing="0"/>
              <w:jc w:val="center"/>
              <w:rPr>
                <w:b/>
                <w:bCs/>
                <w:color w:val="333333"/>
                <w:sz w:val="26"/>
                <w:szCs w:val="26"/>
              </w:rPr>
            </w:pPr>
            <w:r>
              <w:rPr>
                <w:b/>
                <w:bCs/>
                <w:color w:val="333333"/>
                <w:sz w:val="26"/>
                <w:szCs w:val="26"/>
              </w:rPr>
              <w:t>CỘNG HOÀ XÃ HỘI CHỦ NGHĨA VIỆT NAM</w:t>
            </w:r>
          </w:p>
          <w:p>
            <w:pPr>
              <w:pStyle w:val="NormalWeb"/>
              <w:spacing w:before="0" w:beforeAutospacing="0" w:after="0" w:afterAutospacing="0"/>
              <w:jc w:val="center"/>
              <w:rPr>
                <w:color w:val="333333"/>
                <w:sz w:val="28"/>
                <w:szCs w:val="20"/>
              </w:rPr>
            </w:pPr>
            <w:r>
              <w:rPr>
                <w:rFonts w:hint="eastAsia"/>
                <w:b/>
                <w:bCs/>
                <w:color w:val="333333"/>
                <w:sz w:val="28"/>
                <w:szCs w:val="20"/>
              </w:rPr>
              <w:t>Đ</w:t>
            </w:r>
            <w:r>
              <w:rPr>
                <w:b/>
                <w:bCs/>
                <w:color w:val="333333"/>
                <w:sz w:val="28"/>
                <w:szCs w:val="20"/>
              </w:rPr>
              <w:t>ộc lập - Tự do - Hạnh phúc</w:t>
            </w:r>
          </w:p>
          <w:p>
            <w:pPr>
              <w:pStyle w:val="NormalWeb"/>
              <w:spacing w:before="0" w:beforeAutospacing="0" w:after="0" w:afterAutospacing="0" w:line="288" w:lineRule="atLeast"/>
              <w:jc w:val="center"/>
              <w:rPr>
                <w:i/>
                <w:iCs/>
                <w:color w:val="333333"/>
                <w:sz w:val="26"/>
                <w:szCs w:val="20"/>
              </w:rPr>
            </w:pPr>
            <w:r>
              <w:rPr>
                <w:noProof/>
                <w:color w:val="333333"/>
                <w:sz w:val="28"/>
                <w:szCs w:val="20"/>
              </w:rPr>
              <mc:AlternateContent>
                <mc:Choice Requires="wps">
                  <w:drawing>
                    <wp:anchor distT="4294967295" distB="4294967295" distL="114300" distR="114300" simplePos="0" relativeHeight="251659264" behindDoc="0" locked="0" layoutInCell="1" allowOverlap="1">
                      <wp:simplePos x="0" y="0"/>
                      <wp:positionH relativeFrom="column">
                        <wp:posOffset>725170</wp:posOffset>
                      </wp:positionH>
                      <wp:positionV relativeFrom="paragraph">
                        <wp:posOffset>25400</wp:posOffset>
                      </wp:positionV>
                      <wp:extent cx="20880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pt,2pt" to="22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"/>
                  </w:pict>
                </mc:Fallback>
              </mc:AlternateContent>
            </w:r>
          </w:p>
          <w:p>
            <w:pPr>
              <w:pStyle w:val="NormalWeb"/>
              <w:spacing w:before="0" w:beforeAutospacing="0" w:after="0" w:afterAutospacing="0" w:line="288" w:lineRule="atLeast"/>
              <w:jc w:val="center"/>
              <w:rPr>
                <w:bCs/>
                <w:color w:val="333333"/>
                <w:sz w:val="28"/>
                <w:szCs w:val="20"/>
              </w:rPr>
            </w:pPr>
            <w:r>
              <w:rPr>
                <w:i/>
                <w:iCs/>
                <w:color w:val="333333"/>
                <w:sz w:val="26"/>
                <w:szCs w:val="20"/>
              </w:rPr>
              <w:t>Hà Tĩnh, ngày       tháng     năm 2024</w:t>
            </w:r>
          </w:p>
        </w:tc>
      </w:tr>
    </w:tbl>
    <w:p>
      <w:pPr>
        <w:jc w:val="center"/>
        <w:rPr>
          <w:b/>
          <w:bCs/>
          <w:szCs w:val="28"/>
        </w:rPr>
      </w:pPr>
      <w:r>
        <w:rPr>
          <w:b/>
          <w:bCs/>
          <w:szCs w:val="28"/>
        </w:rPr>
        <w:t>GIẤY MỜI</w:t>
      </w:r>
    </w:p>
    <w:p>
      <w:pPr>
        <w:ind w:left="-284" w:right="-340"/>
        <w:jc w:val="center"/>
        <w:rPr>
          <w:b/>
          <w:bCs/>
          <w:spacing w:val="-4"/>
          <w:szCs w:val="28"/>
        </w:rPr>
      </w:pPr>
      <w:r>
        <w:rPr>
          <w:b/>
          <w:bCs/>
          <w:spacing w:val="-4"/>
          <w:szCs w:val="28"/>
        </w:rPr>
        <w:t xml:space="preserve">Tập huấn, </w:t>
      </w:r>
      <w:bookmarkStart w:id="0" w:name="_Hlk141972098"/>
      <w:r>
        <w:rPr>
          <w:b/>
          <w:bCs/>
          <w:spacing w:val="-4"/>
          <w:szCs w:val="28"/>
        </w:rPr>
        <w:t xml:space="preserve">hướng dẫn sử dụng và quản trị Hệ thống </w:t>
      </w:r>
      <w:bookmarkStart w:id="1" w:name="_Hlk142055083"/>
      <w:r>
        <w:rPr>
          <w:b/>
          <w:bCs/>
          <w:spacing w:val="-4"/>
          <w:szCs w:val="28"/>
        </w:rPr>
        <w:t>thông tin giải quyết thủ tục hành chính tỉnh</w:t>
      </w:r>
      <w:bookmarkEnd w:id="1"/>
      <w:r>
        <w:rPr>
          <w:b/>
          <w:bCs/>
          <w:spacing w:val="-4"/>
          <w:szCs w:val="28"/>
        </w:rPr>
        <w:t>; rà soát, cập nhật thủ tục theo các Quyết định công bố của UBND tỉnh</w:t>
      </w:r>
      <w:bookmarkEnd w:id="0"/>
      <w:r>
        <w:rPr>
          <w:b/>
          <w:bCs/>
          <w:spacing w:val="-4"/>
          <w:szCs w:val="28"/>
        </w:rPr>
        <w:t xml:space="preserve"> trên Cổng dịch vụ công quốc gia và của tỉnh</w:t>
      </w:r>
    </w:p>
    <w:p>
      <w:pPr>
        <w:jc w:val="center"/>
        <w:rPr>
          <w:bCs/>
          <w:szCs w:val="28"/>
        </w:rPr>
      </w:pPr>
      <w:r>
        <w:rPr>
          <w:bCs/>
          <w:noProof/>
          <w:sz w:val="10"/>
          <w:szCs w:val="28"/>
        </w:rPr>
        <mc:AlternateContent>
          <mc:Choice Requires="wps">
            <w:drawing>
              <wp:anchor distT="4294967295" distB="4294967295" distL="114300" distR="114300" simplePos="0" relativeHeight="251658240" behindDoc="0" locked="0" layoutInCell="1" allowOverlap="1">
                <wp:simplePos x="0" y="0"/>
                <wp:positionH relativeFrom="column">
                  <wp:posOffset>2486025</wp:posOffset>
                </wp:positionH>
                <wp:positionV relativeFrom="paragraph">
                  <wp:posOffset>37465</wp:posOffset>
                </wp:positionV>
                <wp:extent cx="1007745"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75pt,2.95pt" to="275.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onA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"/>
            </w:pict>
          </mc:Fallback>
        </mc:AlternateContent>
      </w:r>
    </w:p>
    <w:p>
      <w:pPr>
        <w:spacing w:before="60" w:after="60"/>
        <w:ind w:firstLine="720"/>
        <w:jc w:val="both"/>
        <w:rPr>
          <w:szCs w:val="28"/>
        </w:rPr>
      </w:pPr>
      <w:r>
        <w:rPr>
          <w:bCs/>
          <w:szCs w:val="28"/>
        </w:rPr>
        <w:t xml:space="preserve">Thực hiện Kế hoạch đào tạo, tập huấn năm 2024; </w:t>
      </w:r>
      <w:r>
        <w:rPr>
          <w:szCs w:val="28"/>
        </w:rPr>
        <w:t xml:space="preserve">Văn phòng UBND tỉnh </w:t>
      </w:r>
      <w:r>
        <w:rPr>
          <w:bCs/>
          <w:szCs w:val="28"/>
        </w:rPr>
        <w:t xml:space="preserve">tổ </w:t>
      </w:r>
      <w:r>
        <w:rPr>
          <w:szCs w:val="28"/>
        </w:rPr>
        <w:t>chức tập huấn, hướng dẫn sử dụng Hệ thống thông tin giải quyết thủ tục hành chính tỉnh; rà soát, cập nhật thủ tục theo các Quyết định công bố của UBND tỉnh trên Cổng dịch vụ công quốc gia và của tỉnh cho các đơn vị như sau:</w:t>
      </w:r>
    </w:p>
    <w:p>
      <w:pPr>
        <w:pStyle w:val="Footer"/>
        <w:tabs>
          <w:tab w:val="clear" w:pos="4320"/>
          <w:tab w:val="left" w:pos="1985"/>
        </w:tabs>
        <w:spacing w:before="60" w:after="60"/>
        <w:ind w:firstLine="567"/>
        <w:jc w:val="both"/>
      </w:pPr>
      <w:r>
        <w:rPr>
          <w:b/>
        </w:rPr>
        <w:t>Thời gian:</w:t>
      </w:r>
      <w:r>
        <w:rPr>
          <w:b/>
        </w:rPr>
        <w:tab/>
      </w:r>
      <w:r>
        <w:t>03 ngày, từ ngày 11/9/2024 - 13/9/2024, buổi sáng bắt đầu từ 7h30, buổi chiều bắt đầu từ 14h00.</w:t>
      </w:r>
    </w:p>
    <w:p>
      <w:pPr>
        <w:pStyle w:val="BodyText"/>
        <w:tabs>
          <w:tab w:val="left" w:pos="720"/>
        </w:tabs>
        <w:spacing w:before="60" w:after="60"/>
        <w:ind w:firstLine="567"/>
        <w:jc w:val="both"/>
        <w:rPr>
          <w:rFonts w:ascii="Times New Roman" w:hAnsi="Times New Roman"/>
          <w:b w:val="0"/>
        </w:rPr>
      </w:pPr>
      <w:r>
        <w:rPr>
          <w:rFonts w:ascii="Times New Roman" w:hAnsi="Times New Roman"/>
        </w:rPr>
        <w:t>Địa điểm:</w:t>
      </w:r>
      <w:r>
        <w:rPr>
          <w:rFonts w:ascii="Times New Roman" w:hAnsi="Times New Roman"/>
          <w:b w:val="0"/>
        </w:rPr>
        <w:t xml:space="preserve"> Trung tâm Công báo - Tin học, Văn phòng UBND tỉnh. Số 19, đường Nguyễn Tất Thành, TP. Hà Tĩnh, tỉnh Hà Tĩnh.</w:t>
      </w:r>
    </w:p>
    <w:p>
      <w:pPr>
        <w:pStyle w:val="Footer"/>
        <w:tabs>
          <w:tab w:val="left" w:pos="700"/>
        </w:tabs>
        <w:spacing w:before="60" w:after="60"/>
        <w:ind w:firstLine="567"/>
        <w:jc w:val="both"/>
        <w:rPr>
          <w:b/>
          <w:bCs/>
          <w:szCs w:val="28"/>
        </w:rPr>
      </w:pPr>
      <w:r>
        <w:rPr>
          <w:b/>
          <w:bCs/>
          <w:szCs w:val="28"/>
        </w:rPr>
        <w:t>Thành phần tập huấn, trân trọng kính mời:</w:t>
      </w:r>
    </w:p>
    <w:p>
      <w:pPr>
        <w:pStyle w:val="Footer"/>
        <w:tabs>
          <w:tab w:val="left" w:pos="700"/>
        </w:tabs>
        <w:spacing w:before="60" w:after="60"/>
        <w:ind w:firstLine="567"/>
        <w:jc w:val="both"/>
        <w:rPr>
          <w:bCs/>
          <w:szCs w:val="28"/>
        </w:rPr>
      </w:pPr>
      <w:r>
        <w:rPr>
          <w:bCs/>
          <w:szCs w:val="28"/>
        </w:rPr>
        <w:t>- Lãnh đạo Văn phòng UBND tỉnh (Mời khai mạc);</w:t>
      </w:r>
    </w:p>
    <w:p>
      <w:pPr>
        <w:pStyle w:val="Footer"/>
        <w:tabs>
          <w:tab w:val="left" w:pos="700"/>
        </w:tabs>
        <w:spacing w:before="60" w:after="60"/>
        <w:ind w:firstLine="567"/>
        <w:jc w:val="both"/>
        <w:rPr>
          <w:bCs/>
          <w:szCs w:val="28"/>
        </w:rPr>
      </w:pPr>
      <w:r>
        <w:rPr>
          <w:bCs/>
          <w:szCs w:val="28"/>
        </w:rPr>
        <w:t>- Phòng Nội chính, Trung tâm Công báo - Tin học, Trung tâm Phục vụ HCC tỉnh và</w:t>
      </w:r>
      <w:bookmarkStart w:id="2" w:name="_GoBack"/>
      <w:bookmarkEnd w:id="2"/>
      <w:r>
        <w:rPr>
          <w:bCs/>
          <w:szCs w:val="28"/>
        </w:rPr>
        <w:t xml:space="preserve"> Văn phòng UBND tỉnh;</w:t>
      </w:r>
    </w:p>
    <w:p>
      <w:pPr>
        <w:pStyle w:val="Footer"/>
        <w:tabs>
          <w:tab w:val="left" w:pos="567"/>
          <w:tab w:val="left" w:pos="709"/>
        </w:tabs>
        <w:spacing w:before="60" w:after="60"/>
        <w:ind w:firstLine="567"/>
        <w:jc w:val="both"/>
        <w:rPr>
          <w:bCs/>
          <w:szCs w:val="28"/>
        </w:rPr>
      </w:pPr>
      <w:r>
        <w:rPr>
          <w:bCs/>
          <w:szCs w:val="28"/>
        </w:rPr>
        <w:t>- Cán bộ phụ trách công nghệ thông tin và cán bộ kiểm soát thủ tục hành chính (TTHC) thuộc các sở, ban, ngành có thủ tục niêm yết trên Hệ thống thông tin giải quyết thủ tục hành chính tỉnh và Cổng dịch vụ công quốc gia.</w:t>
      </w:r>
    </w:p>
    <w:p>
      <w:pPr>
        <w:pStyle w:val="Footer"/>
        <w:tabs>
          <w:tab w:val="left" w:pos="567"/>
          <w:tab w:val="left" w:pos="709"/>
        </w:tabs>
        <w:spacing w:before="60" w:after="60"/>
        <w:ind w:firstLine="567"/>
        <w:jc w:val="both"/>
        <w:rPr>
          <w:bCs/>
          <w:szCs w:val="28"/>
        </w:rPr>
      </w:pPr>
      <w:r>
        <w:rPr>
          <w:bCs/>
          <w:szCs w:val="28"/>
        </w:rPr>
        <w:t xml:space="preserve">Sau khi tập huấn, các đơn vị chủ động và chịu trách nhiệm hoàn toàn về việc cập nhật TTHC trên Cổng dịch vụ công quốc gia và Hệ thống thông tin giải quyết thủ tục hành chính tỉnh. Để đảm bảo chất lượng tập huấn; đề nghị các sở, ban, ngành cử cán bộ theo đúng thành phần và tham gia tập huấn đầy đủ, nghiêm túc đồng thời chuẩn bị đầy đủ bộ thủ tục hành chính của đơn vị đã được công bố tại các Quyết định của UBND tỉnh để rà soát, cập nhật. </w:t>
      </w:r>
    </w:p>
    <w:p>
      <w:pPr>
        <w:pStyle w:val="Footer"/>
        <w:tabs>
          <w:tab w:val="left" w:pos="567"/>
          <w:tab w:val="left" w:pos="709"/>
        </w:tabs>
        <w:spacing w:before="60" w:after="60"/>
        <w:ind w:firstLine="567"/>
        <w:jc w:val="both"/>
        <w:rPr>
          <w:b/>
          <w:bCs/>
          <w:szCs w:val="28"/>
        </w:rPr>
      </w:pPr>
      <w:r>
        <w:rPr>
          <w:bCs/>
          <w:szCs w:val="28"/>
        </w:rPr>
        <w:t xml:space="preserve">Giao </w:t>
      </w:r>
      <w:r>
        <w:t>Trung tâm Công báo - Tin học, Văn phòng UBND tỉnh</w:t>
      </w:r>
      <w:r>
        <w:rPr>
          <w:bCs/>
          <w:szCs w:val="28"/>
        </w:rPr>
        <w:t xml:space="preserve"> chuẩn bị các điều kiện phục vụ lớp tập huấn và theo dõi, đôn đốc tổng hợp tình hình thực hiện để báo cáo Ủy ban nhân dân tỉnh./.</w:t>
      </w:r>
    </w:p>
    <w:p>
      <w:pPr>
        <w:pStyle w:val="BodyText"/>
        <w:tabs>
          <w:tab w:val="left" w:pos="720"/>
        </w:tabs>
        <w:spacing w:line="264" w:lineRule="auto"/>
        <w:ind w:firstLine="629"/>
        <w:jc w:val="both"/>
        <w:rPr>
          <w:rFonts w:ascii="Times New Roman" w:hAnsi="Times New Roman"/>
          <w:b w:val="0"/>
          <w:bCs/>
          <w:sz w:val="8"/>
          <w:szCs w:val="28"/>
        </w:rPr>
      </w:pPr>
    </w:p>
    <w:p>
      <w:pPr>
        <w:spacing w:line="264" w:lineRule="auto"/>
        <w:jc w:val="both"/>
        <w:rPr>
          <w:bCs/>
          <w:sz w:val="2"/>
          <w:szCs w:val="28"/>
        </w:rPr>
      </w:pPr>
    </w:p>
    <w:p>
      <w:pPr>
        <w:jc w:val="both"/>
        <w:rPr>
          <w:sz w:val="4"/>
          <w:szCs w:val="18"/>
        </w:rPr>
      </w:pPr>
    </w:p>
    <w:tbl>
      <w:tblPr>
        <w:tblW w:w="8960" w:type="dxa"/>
        <w:tblInd w:w="248" w:type="dxa"/>
        <w:tblLook w:val="0000" w:firstRow="0" w:lastRow="0" w:firstColumn="0" w:lastColumn="0" w:noHBand="0" w:noVBand="0"/>
      </w:tblPr>
      <w:tblGrid>
        <w:gridCol w:w="3829"/>
        <w:gridCol w:w="5131"/>
      </w:tblGrid>
      <w:tr>
        <w:tc>
          <w:tcPr>
            <w:tcW w:w="3829" w:type="dxa"/>
          </w:tcPr>
          <w:p>
            <w:pPr>
              <w:jc w:val="both"/>
              <w:rPr>
                <w:b/>
                <w:i/>
                <w:sz w:val="24"/>
              </w:rPr>
            </w:pPr>
            <w:r>
              <w:rPr>
                <w:b/>
                <w:i/>
                <w:sz w:val="24"/>
              </w:rPr>
              <w:t>Nơi nhận:</w:t>
            </w:r>
          </w:p>
          <w:p>
            <w:pPr>
              <w:jc w:val="both"/>
              <w:rPr>
                <w:bCs/>
                <w:iCs/>
                <w:sz w:val="22"/>
              </w:rPr>
            </w:pPr>
            <w:r>
              <w:rPr>
                <w:bCs/>
                <w:iCs/>
                <w:sz w:val="22"/>
              </w:rPr>
              <w:t>- Như thành phần;</w:t>
            </w:r>
          </w:p>
          <w:p>
            <w:pPr>
              <w:jc w:val="both"/>
              <w:rPr>
                <w:bCs/>
                <w:iCs/>
                <w:sz w:val="22"/>
              </w:rPr>
            </w:pPr>
            <w:r>
              <w:rPr>
                <w:bCs/>
                <w:iCs/>
                <w:sz w:val="22"/>
              </w:rPr>
              <w:t>- Chủ tịch, các PCT UBND tỉnh (để bc);</w:t>
            </w:r>
          </w:p>
          <w:p>
            <w:pPr>
              <w:jc w:val="both"/>
              <w:rPr>
                <w:bCs/>
                <w:iCs/>
                <w:sz w:val="22"/>
              </w:rPr>
            </w:pPr>
            <w:r>
              <w:rPr>
                <w:bCs/>
                <w:iCs/>
                <w:sz w:val="22"/>
              </w:rPr>
              <w:t>- CVP và các PVP;</w:t>
            </w:r>
          </w:p>
          <w:p>
            <w:pPr>
              <w:jc w:val="both"/>
              <w:rPr>
                <w:bCs/>
                <w:iCs/>
                <w:sz w:val="22"/>
              </w:rPr>
            </w:pPr>
            <w:r>
              <w:rPr>
                <w:bCs/>
                <w:iCs/>
                <w:sz w:val="22"/>
              </w:rPr>
              <w:t>- Trung tâm CB-TH;</w:t>
            </w:r>
          </w:p>
          <w:p>
            <w:pPr>
              <w:jc w:val="both"/>
              <w:rPr>
                <w:sz w:val="22"/>
              </w:rPr>
            </w:pPr>
            <w:r>
              <w:rPr>
                <w:sz w:val="22"/>
              </w:rPr>
              <w:t>- Lưu: VT, CNTT.</w:t>
            </w:r>
          </w:p>
          <w:p>
            <w:pPr>
              <w:jc w:val="both"/>
              <w:rPr>
                <w:rFonts w:ascii="Arial Unicode MS" w:eastAsia="Arial Unicode MS" w:hAnsi="Arial Unicode MS" w:cs="Arial Unicode MS"/>
              </w:rPr>
            </w:pPr>
          </w:p>
        </w:tc>
        <w:tc>
          <w:tcPr>
            <w:tcW w:w="5131" w:type="dxa"/>
          </w:tcPr>
          <w:p>
            <w:pPr>
              <w:jc w:val="center"/>
              <w:rPr>
                <w:b/>
                <w:sz w:val="26"/>
              </w:rPr>
            </w:pPr>
            <w:r>
              <w:rPr>
                <w:b/>
                <w:sz w:val="26"/>
              </w:rPr>
              <w:t xml:space="preserve">                         KT. CHÁNH VĂN PHÒNG</w:t>
            </w:r>
          </w:p>
          <w:p>
            <w:pPr>
              <w:jc w:val="center"/>
              <w:rPr>
                <w:b/>
                <w:sz w:val="26"/>
              </w:rPr>
            </w:pPr>
            <w:r>
              <w:rPr>
                <w:b/>
                <w:sz w:val="26"/>
              </w:rPr>
              <w:t xml:space="preserve">                         PHÓ CHÁNH VĂN PHÒNG</w:t>
            </w:r>
          </w:p>
          <w:p>
            <w:pPr>
              <w:jc w:val="center"/>
              <w:rPr>
                <w:b/>
              </w:rPr>
            </w:pPr>
          </w:p>
          <w:p>
            <w:pPr>
              <w:jc w:val="center"/>
              <w:rPr>
                <w:b/>
              </w:rPr>
            </w:pPr>
          </w:p>
          <w:p>
            <w:pPr>
              <w:jc w:val="center"/>
              <w:rPr>
                <w:b/>
                <w:sz w:val="12"/>
              </w:rPr>
            </w:pPr>
          </w:p>
          <w:p>
            <w:pPr>
              <w:jc w:val="center"/>
              <w:rPr>
                <w:rFonts w:eastAsia="Arial Unicode MS"/>
                <w:b/>
                <w:sz w:val="30"/>
              </w:rPr>
            </w:pPr>
          </w:p>
          <w:p>
            <w:pPr>
              <w:jc w:val="center"/>
              <w:rPr>
                <w:rFonts w:eastAsia="Arial Unicode MS"/>
                <w:b/>
                <w:sz w:val="30"/>
              </w:rPr>
            </w:pPr>
          </w:p>
          <w:p>
            <w:pPr>
              <w:jc w:val="center"/>
              <w:rPr>
                <w:rFonts w:eastAsia="Arial Unicode MS"/>
                <w:b/>
                <w:sz w:val="30"/>
              </w:rPr>
            </w:pPr>
          </w:p>
          <w:p>
            <w:pPr>
              <w:jc w:val="center"/>
              <w:rPr>
                <w:rFonts w:eastAsia="Arial Unicode MS"/>
                <w:b/>
                <w:sz w:val="18"/>
              </w:rPr>
            </w:pPr>
          </w:p>
          <w:p>
            <w:pPr>
              <w:jc w:val="center"/>
              <w:rPr>
                <w:rFonts w:eastAsia="Arial Unicode MS"/>
                <w:b/>
              </w:rPr>
            </w:pPr>
            <w:r>
              <w:rPr>
                <w:rFonts w:eastAsia="Arial Unicode MS"/>
                <w:b/>
              </w:rPr>
              <w:t xml:space="preserve">                        Trần Tuấn Nghĩa</w:t>
            </w:r>
          </w:p>
        </w:tc>
      </w:tr>
    </w:tbl>
    <w:p>
      <w:pPr>
        <w:rPr>
          <w:sz w:val="6"/>
        </w:rPr>
      </w:pPr>
    </w:p>
    <w:sectPr>
      <w:footerReference w:type="even" r:id="rId7"/>
      <w:footerReference w:type="default" r:id="rId8"/>
      <w:pgSz w:w="11907" w:h="16840" w:code="9"/>
      <w:pgMar w:top="907" w:right="90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03D88"/>
    <w:multiLevelType w:val="hybridMultilevel"/>
    <w:tmpl w:val="DC9496E0"/>
    <w:lvl w:ilvl="0" w:tplc="467091A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724A12-0C82-4FD6-A1DC-414FB300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8"/>
      <w:szCs w:val="24"/>
    </w:rPr>
  </w:style>
  <w:style w:type="character" w:styleId="PageNumber">
    <w:name w:val="page number"/>
    <w:basedOn w:val="DefaultParagraphFont"/>
  </w:style>
  <w:style w:type="paragraph" w:styleId="BodyText">
    <w:name w:val="Body Text"/>
    <w:basedOn w:val="Normal"/>
    <w:link w:val="BodyTextChar"/>
    <w:pPr>
      <w:jc w:val="center"/>
    </w:pPr>
    <w:rPr>
      <w:rFonts w:ascii=".VnArial" w:hAnsi=".VnArial"/>
      <w:b/>
    </w:rPr>
  </w:style>
  <w:style w:type="character" w:customStyle="1" w:styleId="BodyTextChar">
    <w:name w:val="Body Text Char"/>
    <w:basedOn w:val="DefaultParagraphFont"/>
    <w:link w:val="BodyText"/>
    <w:rPr>
      <w:rFonts w:ascii=".VnArial" w:eastAsia="Times New Roman" w:hAnsi=".VnArial" w:cs="Times New Roman"/>
      <w:b/>
      <w:sz w:val="28"/>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2024-09-06T02:30:00Z</cp:lastPrinted>
  <dcterms:created xsi:type="dcterms:W3CDTF">2024-09-06T02:32:00Z</dcterms:created>
  <dcterms:modified xsi:type="dcterms:W3CDTF">2024-09-06T02:32:00Z</dcterms:modified>
</cp:coreProperties>
</file>